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0378" w:rsidRDefault="005C380A">
      <w:pPr>
        <w:adjustRightInd w:val="0"/>
        <w:snapToGrid w:val="0"/>
        <w:spacing w:line="360" w:lineRule="auto"/>
        <w:ind w:firstLineChars="200" w:firstLine="883"/>
        <w:jc w:val="both"/>
        <w:rPr>
          <w:rFonts w:ascii="宋体" w:hAnsi="宋体" w:cs="宋体"/>
          <w:b/>
          <w:bCs/>
          <w:sz w:val="44"/>
          <w:szCs w:val="44"/>
          <w:lang w:val="zh-CN"/>
        </w:rPr>
      </w:pPr>
      <w:r>
        <w:rPr>
          <w:rFonts w:ascii="宋体" w:hAnsi="宋体" w:cs="宋体" w:hint="eastAsia"/>
          <w:b/>
          <w:bCs/>
          <w:sz w:val="44"/>
          <w:szCs w:val="44"/>
          <w:lang w:val="zh-CN"/>
        </w:rPr>
        <w:t xml:space="preserve">              </w:t>
      </w:r>
    </w:p>
    <w:p w:rsidR="002E0378" w:rsidRDefault="002E0378">
      <w:pPr>
        <w:adjustRightInd w:val="0"/>
        <w:snapToGrid w:val="0"/>
        <w:spacing w:line="360" w:lineRule="auto"/>
        <w:ind w:firstLineChars="200" w:firstLine="883"/>
        <w:rPr>
          <w:rFonts w:ascii="宋体" w:hAnsi="宋体" w:cs="宋体"/>
          <w:b/>
          <w:bCs/>
          <w:sz w:val="44"/>
          <w:szCs w:val="44"/>
          <w:lang w:val="zh-CN"/>
        </w:rPr>
      </w:pPr>
    </w:p>
    <w:p w:rsidR="002E0378" w:rsidRDefault="005C380A">
      <w:pPr>
        <w:widowControl w:val="0"/>
        <w:spacing w:beforeLines="50" w:before="156" w:line="720" w:lineRule="auto"/>
        <w:rPr>
          <w:rFonts w:ascii="楷体" w:eastAsia="楷体" w:hAnsi="楷体" w:cs="楷体"/>
          <w:b/>
          <w:sz w:val="48"/>
          <w:szCs w:val="48"/>
          <w:u w:color="FFFFFF"/>
          <w:lang w:val="zh-CN"/>
        </w:rPr>
      </w:pPr>
      <w:r>
        <w:rPr>
          <w:rFonts w:ascii="楷体" w:eastAsia="楷体" w:hAnsi="楷体" w:cs="楷体" w:hint="eastAsia"/>
          <w:b/>
          <w:sz w:val="48"/>
          <w:szCs w:val="48"/>
          <w:u w:color="FFFFFF"/>
          <w:lang w:val="zh-CN"/>
        </w:rPr>
        <w:t>吉林省固体废物处理有限责任公司</w:t>
      </w:r>
    </w:p>
    <w:p w:rsidR="002E0378" w:rsidRDefault="005C380A">
      <w:pPr>
        <w:widowControl w:val="0"/>
        <w:spacing w:beforeLines="50" w:before="156" w:line="720" w:lineRule="auto"/>
        <w:rPr>
          <w:rFonts w:ascii="楷体" w:eastAsia="楷体" w:hAnsi="楷体" w:cs="楷体"/>
          <w:b/>
          <w:sz w:val="52"/>
          <w:szCs w:val="52"/>
          <w:u w:color="FFFFFF"/>
          <w:lang w:val="zh-CN"/>
        </w:rPr>
      </w:pPr>
      <w:r>
        <w:rPr>
          <w:rFonts w:ascii="楷体" w:eastAsia="楷体" w:hAnsi="楷体" w:cs="楷体" w:hint="eastAsia"/>
          <w:b/>
          <w:sz w:val="52"/>
          <w:szCs w:val="52"/>
          <w:u w:color="FFFFFF"/>
          <w:lang w:val="zh-CN"/>
        </w:rPr>
        <w:t>土壤及地下水污染隐患排查报告</w:t>
      </w: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ind w:firstLine="480"/>
        <w:rPr>
          <w:sz w:val="24"/>
          <w:szCs w:val="24"/>
          <w:lang w:val="zh-CN"/>
        </w:rPr>
      </w:pPr>
    </w:p>
    <w:p w:rsidR="002E0378" w:rsidRDefault="002E0378">
      <w:pPr>
        <w:ind w:firstLine="480"/>
        <w:rPr>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adjustRightInd w:val="0"/>
        <w:snapToGrid w:val="0"/>
        <w:spacing w:line="360" w:lineRule="auto"/>
        <w:ind w:firstLineChars="200" w:firstLine="480"/>
        <w:rPr>
          <w:rFonts w:ascii="宋体" w:hAnsi="宋体" w:cs="宋体"/>
          <w:sz w:val="24"/>
          <w:szCs w:val="24"/>
          <w:lang w:val="zh-CN"/>
        </w:rPr>
      </w:pPr>
    </w:p>
    <w:p w:rsidR="002E0378" w:rsidRDefault="002E0378">
      <w:pPr>
        <w:rPr>
          <w:lang w:val="zh-CN"/>
        </w:rPr>
      </w:pPr>
    </w:p>
    <w:p w:rsidR="002E0378" w:rsidRDefault="005C380A">
      <w:pPr>
        <w:adjustRightInd w:val="0"/>
        <w:snapToGrid w:val="0"/>
        <w:spacing w:line="360" w:lineRule="auto"/>
        <w:jc w:val="both"/>
        <w:rPr>
          <w:rFonts w:ascii="宋体" w:hAnsi="宋体" w:cs="宋体"/>
          <w:sz w:val="32"/>
          <w:szCs w:val="32"/>
          <w:lang w:val="zh-CN"/>
        </w:rPr>
      </w:pPr>
      <w:r>
        <w:rPr>
          <w:rFonts w:ascii="宋体" w:hAnsi="宋体" w:cs="宋体" w:hint="eastAsia"/>
          <w:sz w:val="32"/>
          <w:szCs w:val="32"/>
        </w:rPr>
        <w:t xml:space="preserve">         </w:t>
      </w:r>
      <w:r>
        <w:rPr>
          <w:rFonts w:eastAsia="华文楷体" w:hint="eastAsia"/>
          <w:b/>
          <w:bCs/>
          <w:sz w:val="32"/>
          <w:szCs w:val="32"/>
        </w:rPr>
        <w:t xml:space="preserve"> </w:t>
      </w:r>
      <w:r>
        <w:rPr>
          <w:rFonts w:eastAsia="华文楷体" w:hint="eastAsia"/>
          <w:b/>
          <w:bCs/>
          <w:sz w:val="32"/>
          <w:szCs w:val="32"/>
        </w:rPr>
        <w:t>建设单位</w:t>
      </w:r>
      <w:r>
        <w:rPr>
          <w:rFonts w:eastAsia="华文楷体" w:hint="eastAsia"/>
          <w:b/>
          <w:bCs/>
          <w:sz w:val="32"/>
          <w:szCs w:val="32"/>
          <w:lang w:val="zh-CN"/>
        </w:rPr>
        <w:t>：</w:t>
      </w:r>
      <w:r>
        <w:rPr>
          <w:rFonts w:ascii="华文楷体" w:eastAsia="华文楷体" w:hAnsi="华文楷体" w:cs="华文楷体" w:hint="eastAsia"/>
          <w:b/>
          <w:bCs/>
          <w:sz w:val="32"/>
          <w:szCs w:val="32"/>
          <w:lang w:val="zh-CN"/>
        </w:rPr>
        <w:t>吉林省固体废物处理有限责任公司</w:t>
      </w:r>
    </w:p>
    <w:p w:rsidR="002E0378" w:rsidRDefault="005C380A">
      <w:pPr>
        <w:adjustRightInd w:val="0"/>
        <w:snapToGrid w:val="0"/>
        <w:spacing w:line="360" w:lineRule="auto"/>
        <w:jc w:val="both"/>
        <w:rPr>
          <w:rFonts w:ascii="宋体" w:hAnsi="宋体" w:cs="宋体"/>
          <w:sz w:val="32"/>
          <w:szCs w:val="32"/>
          <w:lang w:val="zh-CN"/>
        </w:rPr>
      </w:pPr>
      <w:r>
        <w:rPr>
          <w:rFonts w:ascii="宋体" w:hAnsi="宋体" w:cs="宋体" w:hint="eastAsia"/>
          <w:sz w:val="32"/>
          <w:szCs w:val="32"/>
        </w:rPr>
        <w:t xml:space="preserve">          </w:t>
      </w:r>
      <w:r>
        <w:rPr>
          <w:rFonts w:eastAsia="华文楷体" w:hint="eastAsia"/>
          <w:b/>
          <w:bCs/>
          <w:sz w:val="32"/>
          <w:szCs w:val="32"/>
        </w:rPr>
        <w:t>编制单位：吉林柏源环境检测有限公司</w:t>
      </w:r>
    </w:p>
    <w:p w:rsidR="002E0378" w:rsidRDefault="005C380A">
      <w:pPr>
        <w:adjustRightInd w:val="0"/>
        <w:snapToGrid w:val="0"/>
        <w:spacing w:line="360" w:lineRule="auto"/>
        <w:rPr>
          <w:rFonts w:eastAsia="华文楷体" w:hint="eastAsia"/>
          <w:b/>
          <w:bCs/>
          <w:sz w:val="32"/>
          <w:szCs w:val="32"/>
        </w:rPr>
      </w:pPr>
      <w:r>
        <w:rPr>
          <w:rFonts w:eastAsia="华文楷体" w:hint="eastAsia"/>
          <w:b/>
          <w:bCs/>
          <w:sz w:val="32"/>
          <w:szCs w:val="32"/>
        </w:rPr>
        <w:t>2023</w:t>
      </w:r>
      <w:r>
        <w:rPr>
          <w:rFonts w:eastAsia="华文楷体" w:hint="eastAsia"/>
          <w:b/>
          <w:bCs/>
          <w:sz w:val="32"/>
          <w:szCs w:val="32"/>
        </w:rPr>
        <w:t>年</w:t>
      </w:r>
      <w:r>
        <w:rPr>
          <w:rFonts w:eastAsia="华文楷体" w:hint="eastAsia"/>
          <w:b/>
          <w:bCs/>
          <w:sz w:val="32"/>
          <w:szCs w:val="32"/>
        </w:rPr>
        <w:t>7</w:t>
      </w:r>
      <w:r>
        <w:rPr>
          <w:rFonts w:eastAsia="华文楷体" w:hint="eastAsia"/>
          <w:b/>
          <w:bCs/>
          <w:sz w:val="32"/>
          <w:szCs w:val="32"/>
        </w:rPr>
        <w:t>月</w:t>
      </w:r>
    </w:p>
    <w:p w:rsidR="00F74FB3" w:rsidRDefault="00F74FB3" w:rsidP="00F74FB3">
      <w:pPr>
        <w:pStyle w:val="112"/>
        <w:rPr>
          <w:rFonts w:hint="eastAsia"/>
        </w:rPr>
      </w:pPr>
    </w:p>
    <w:p w:rsidR="00F74FB3" w:rsidRDefault="00F74FB3" w:rsidP="00F74FB3">
      <w:pPr>
        <w:pStyle w:val="112"/>
        <w:rPr>
          <w:rFonts w:hint="eastAsia"/>
        </w:rPr>
      </w:pPr>
    </w:p>
    <w:p w:rsidR="00F74FB3" w:rsidRDefault="00F74FB3" w:rsidP="00F74FB3">
      <w:pPr>
        <w:pStyle w:val="112"/>
        <w:rPr>
          <w:rFonts w:hint="eastAsia"/>
        </w:rPr>
      </w:pPr>
    </w:p>
    <w:p w:rsidR="00F74FB3" w:rsidRDefault="00F74FB3" w:rsidP="00F74FB3">
      <w:pPr>
        <w:pStyle w:val="112"/>
        <w:rPr>
          <w:rFonts w:hint="eastAsia"/>
        </w:rPr>
      </w:pPr>
    </w:p>
    <w:p w:rsidR="00F74FB3" w:rsidRDefault="00F74FB3" w:rsidP="00F74FB3">
      <w:pPr>
        <w:pStyle w:val="112"/>
        <w:rPr>
          <w:rFonts w:hint="eastAsia"/>
        </w:rPr>
      </w:pPr>
    </w:p>
    <w:p w:rsidR="00F74FB3" w:rsidRPr="00F74FB3" w:rsidRDefault="00F74FB3" w:rsidP="00F74FB3">
      <w:pPr>
        <w:pStyle w:val="112"/>
      </w:pPr>
      <w:bookmarkStart w:id="0" w:name="_GoBack"/>
      <w:bookmarkEnd w:id="0"/>
    </w:p>
    <w:p w:rsidR="002E0378" w:rsidRDefault="005C380A">
      <w:pPr>
        <w:adjustRightInd w:val="0"/>
        <w:snapToGrid w:val="0"/>
        <w:spacing w:line="360" w:lineRule="auto"/>
        <w:ind w:firstLineChars="200" w:firstLine="560"/>
        <w:rPr>
          <w:rFonts w:ascii="宋体" w:hAnsi="宋体" w:cs="宋体"/>
        </w:rPr>
      </w:pPr>
      <w:r>
        <w:rPr>
          <w:rFonts w:ascii="宋体" w:hAnsi="宋体" w:cs="宋体" w:hint="eastAsia"/>
          <w:sz w:val="28"/>
          <w:szCs w:val="28"/>
        </w:rPr>
        <w:br w:type="page"/>
      </w:r>
      <w:r>
        <w:rPr>
          <w:rFonts w:ascii="宋体" w:hAnsi="宋体" w:cs="宋体" w:hint="eastAsia"/>
          <w:sz w:val="28"/>
          <w:szCs w:val="28"/>
        </w:rPr>
        <w:lastRenderedPageBreak/>
        <w:t>目  录</w:t>
      </w:r>
    </w:p>
    <w:p w:rsidR="002E0378" w:rsidRDefault="005C380A">
      <w:pPr>
        <w:pStyle w:val="10"/>
        <w:tabs>
          <w:tab w:val="right" w:leader="dot" w:pos="8640"/>
        </w:tabs>
        <w:spacing w:line="360" w:lineRule="auto"/>
        <w:rPr>
          <w:rFonts w:ascii="Times New Roman" w:hAnsi="Times New Roman"/>
          <w:noProof/>
          <w:sz w:val="24"/>
          <w:szCs w:val="22"/>
        </w:rPr>
      </w:pPr>
      <w:r>
        <w:rPr>
          <w:rFonts w:ascii="Times New Roman" w:hAnsi="Times New Roman" w:hint="eastAsia"/>
          <w:sz w:val="24"/>
          <w:szCs w:val="22"/>
          <w:lang w:val="zh-CN"/>
        </w:rPr>
        <w:fldChar w:fldCharType="begin"/>
      </w:r>
      <w:r>
        <w:rPr>
          <w:rFonts w:ascii="Times New Roman" w:hAnsi="Times New Roman" w:hint="eastAsia"/>
          <w:sz w:val="24"/>
          <w:szCs w:val="22"/>
          <w:lang w:val="zh-CN"/>
        </w:rPr>
        <w:instrText xml:space="preserve">TOC \o "1-2" \h \u </w:instrText>
      </w:r>
      <w:r>
        <w:rPr>
          <w:rFonts w:ascii="Times New Roman" w:hAnsi="Times New Roman" w:hint="eastAsia"/>
          <w:sz w:val="24"/>
          <w:szCs w:val="22"/>
          <w:lang w:val="zh-CN"/>
        </w:rPr>
        <w:fldChar w:fldCharType="separate"/>
      </w:r>
      <w:hyperlink w:anchor="_Toc27617" w:history="1">
        <w:r>
          <w:rPr>
            <w:rFonts w:ascii="Times New Roman" w:hAnsi="Times New Roman" w:hint="eastAsia"/>
            <w:noProof/>
            <w:sz w:val="24"/>
            <w:szCs w:val="22"/>
            <w:lang w:val="zh-CN"/>
          </w:rPr>
          <w:t>1</w:t>
        </w:r>
        <w:r>
          <w:rPr>
            <w:rFonts w:ascii="Times New Roman" w:hAnsi="Times New Roman" w:hint="eastAsia"/>
            <w:noProof/>
            <w:sz w:val="24"/>
            <w:szCs w:val="22"/>
          </w:rPr>
          <w:t xml:space="preserve"> </w:t>
        </w:r>
        <w:r>
          <w:rPr>
            <w:rFonts w:ascii="Times New Roman" w:hAnsi="Times New Roman" w:hint="eastAsia"/>
            <w:noProof/>
            <w:sz w:val="24"/>
            <w:szCs w:val="22"/>
            <w:lang w:val="zh-CN"/>
          </w:rPr>
          <w:t>总论</w:t>
        </w:r>
        <w:r>
          <w:rPr>
            <w:rFonts w:ascii="Times New Roman" w:hAnsi="Times New Roman"/>
            <w:noProof/>
            <w:sz w:val="24"/>
            <w:szCs w:val="22"/>
          </w:rPr>
          <w:tab/>
        </w:r>
        <w:r>
          <w:rPr>
            <w:rFonts w:ascii="Times New Roman" w:hAnsi="Times New Roman"/>
            <w:noProof/>
            <w:sz w:val="24"/>
            <w:szCs w:val="22"/>
          </w:rPr>
          <w:fldChar w:fldCharType="begin"/>
        </w:r>
        <w:r>
          <w:rPr>
            <w:rFonts w:ascii="Times New Roman" w:hAnsi="Times New Roman"/>
            <w:noProof/>
            <w:sz w:val="24"/>
            <w:szCs w:val="22"/>
          </w:rPr>
          <w:instrText xml:space="preserve"> PAGEREF _Toc27617 \h </w:instrText>
        </w:r>
        <w:r>
          <w:rPr>
            <w:rFonts w:ascii="Times New Roman" w:hAnsi="Times New Roman"/>
            <w:noProof/>
            <w:sz w:val="24"/>
            <w:szCs w:val="22"/>
          </w:rPr>
        </w:r>
        <w:r>
          <w:rPr>
            <w:rFonts w:ascii="Times New Roman" w:hAnsi="Times New Roman"/>
            <w:noProof/>
            <w:sz w:val="24"/>
            <w:szCs w:val="22"/>
          </w:rPr>
          <w:fldChar w:fldCharType="separate"/>
        </w:r>
        <w:r w:rsidR="00F74FB3">
          <w:rPr>
            <w:rFonts w:ascii="Times New Roman" w:hAnsi="Times New Roman"/>
            <w:noProof/>
            <w:sz w:val="24"/>
            <w:szCs w:val="22"/>
          </w:rPr>
          <w:t>1</w:t>
        </w:r>
        <w:r>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6191" w:history="1">
        <w:r w:rsidR="005C380A">
          <w:rPr>
            <w:rFonts w:hint="eastAsia"/>
            <w:noProof/>
            <w:lang w:val="zh-CN"/>
          </w:rPr>
          <w:t>1.1</w:t>
        </w:r>
        <w:r w:rsidR="005C380A">
          <w:rPr>
            <w:rFonts w:hint="eastAsia"/>
            <w:noProof/>
          </w:rPr>
          <w:t xml:space="preserve"> </w:t>
        </w:r>
        <w:r w:rsidR="005C380A">
          <w:rPr>
            <w:rFonts w:hint="eastAsia"/>
            <w:noProof/>
          </w:rPr>
          <w:t>编制背景</w:t>
        </w:r>
        <w:r w:rsidR="005C380A">
          <w:rPr>
            <w:noProof/>
          </w:rPr>
          <w:tab/>
        </w:r>
        <w:r w:rsidR="005C380A">
          <w:rPr>
            <w:noProof/>
          </w:rPr>
          <w:fldChar w:fldCharType="begin"/>
        </w:r>
        <w:r w:rsidR="005C380A">
          <w:rPr>
            <w:noProof/>
          </w:rPr>
          <w:instrText xml:space="preserve"> PAGEREF _Toc6191 \h </w:instrText>
        </w:r>
        <w:r w:rsidR="005C380A">
          <w:rPr>
            <w:noProof/>
          </w:rPr>
        </w:r>
        <w:r w:rsidR="005C380A">
          <w:rPr>
            <w:noProof/>
          </w:rPr>
          <w:fldChar w:fldCharType="separate"/>
        </w:r>
        <w:r w:rsidR="00F74FB3">
          <w:rPr>
            <w:noProof/>
          </w:rPr>
          <w:t>1</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4104" w:history="1">
        <w:r w:rsidR="005C380A">
          <w:rPr>
            <w:rFonts w:hint="eastAsia"/>
            <w:noProof/>
            <w:lang w:val="zh-CN"/>
          </w:rPr>
          <w:t>1.2</w:t>
        </w:r>
        <w:r w:rsidR="005C380A">
          <w:rPr>
            <w:rFonts w:hint="eastAsia"/>
            <w:noProof/>
          </w:rPr>
          <w:t xml:space="preserve"> </w:t>
        </w:r>
        <w:r w:rsidR="005C380A">
          <w:rPr>
            <w:rFonts w:hint="eastAsia"/>
            <w:noProof/>
            <w:lang w:val="zh-CN"/>
          </w:rPr>
          <w:t>排查目的和原则</w:t>
        </w:r>
        <w:r w:rsidR="005C380A">
          <w:rPr>
            <w:noProof/>
          </w:rPr>
          <w:tab/>
        </w:r>
        <w:r w:rsidR="005C380A">
          <w:rPr>
            <w:noProof/>
          </w:rPr>
          <w:fldChar w:fldCharType="begin"/>
        </w:r>
        <w:r w:rsidR="005C380A">
          <w:rPr>
            <w:noProof/>
          </w:rPr>
          <w:instrText xml:space="preserve"> PAGEREF _Toc24104 \h </w:instrText>
        </w:r>
        <w:r w:rsidR="005C380A">
          <w:rPr>
            <w:noProof/>
          </w:rPr>
        </w:r>
        <w:r w:rsidR="005C380A">
          <w:rPr>
            <w:noProof/>
          </w:rPr>
          <w:fldChar w:fldCharType="separate"/>
        </w:r>
        <w:r w:rsidR="00F74FB3">
          <w:rPr>
            <w:noProof/>
          </w:rPr>
          <w:t>1</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10562" w:history="1">
        <w:r w:rsidR="005C380A">
          <w:rPr>
            <w:rFonts w:hint="eastAsia"/>
            <w:noProof/>
            <w:lang w:val="zh-CN"/>
          </w:rPr>
          <w:t>1.3</w:t>
        </w:r>
        <w:r w:rsidR="005C380A">
          <w:rPr>
            <w:rFonts w:hint="eastAsia"/>
            <w:noProof/>
          </w:rPr>
          <w:t xml:space="preserve"> </w:t>
        </w:r>
        <w:r w:rsidR="005C380A">
          <w:rPr>
            <w:rFonts w:hint="eastAsia"/>
            <w:noProof/>
            <w:lang w:val="zh-CN"/>
          </w:rPr>
          <w:t>排查范围</w:t>
        </w:r>
        <w:r w:rsidR="005C380A">
          <w:rPr>
            <w:noProof/>
          </w:rPr>
          <w:tab/>
        </w:r>
        <w:r w:rsidR="005C380A">
          <w:rPr>
            <w:noProof/>
          </w:rPr>
          <w:fldChar w:fldCharType="begin"/>
        </w:r>
        <w:r w:rsidR="005C380A">
          <w:rPr>
            <w:noProof/>
          </w:rPr>
          <w:instrText xml:space="preserve"> PAGEREF _Toc10562 \h </w:instrText>
        </w:r>
        <w:r w:rsidR="005C380A">
          <w:rPr>
            <w:noProof/>
          </w:rPr>
        </w:r>
        <w:r w:rsidR="005C380A">
          <w:rPr>
            <w:noProof/>
          </w:rPr>
          <w:fldChar w:fldCharType="separate"/>
        </w:r>
        <w:r w:rsidR="00F74FB3">
          <w:rPr>
            <w:noProof/>
          </w:rPr>
          <w:t>1</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14294" w:history="1">
        <w:r w:rsidR="005C380A">
          <w:rPr>
            <w:rFonts w:hint="eastAsia"/>
            <w:noProof/>
          </w:rPr>
          <w:t xml:space="preserve">1.4 </w:t>
        </w:r>
        <w:r w:rsidR="005C380A">
          <w:rPr>
            <w:rFonts w:hint="eastAsia"/>
            <w:noProof/>
          </w:rPr>
          <w:t>编制依据</w:t>
        </w:r>
        <w:r w:rsidR="005C380A">
          <w:rPr>
            <w:noProof/>
          </w:rPr>
          <w:tab/>
        </w:r>
        <w:r w:rsidR="005C380A">
          <w:rPr>
            <w:noProof/>
          </w:rPr>
          <w:fldChar w:fldCharType="begin"/>
        </w:r>
        <w:r w:rsidR="005C380A">
          <w:rPr>
            <w:noProof/>
          </w:rPr>
          <w:instrText xml:space="preserve"> PAGEREF _Toc14294 \h </w:instrText>
        </w:r>
        <w:r w:rsidR="005C380A">
          <w:rPr>
            <w:noProof/>
          </w:rPr>
        </w:r>
        <w:r w:rsidR="005C380A">
          <w:rPr>
            <w:noProof/>
          </w:rPr>
          <w:fldChar w:fldCharType="separate"/>
        </w:r>
        <w:r w:rsidR="00F74FB3">
          <w:rPr>
            <w:noProof/>
          </w:rPr>
          <w:t>3</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10150" w:history="1">
        <w:r w:rsidR="005C380A">
          <w:rPr>
            <w:rFonts w:ascii="Times New Roman" w:hAnsi="Times New Roman" w:hint="eastAsia"/>
            <w:noProof/>
            <w:sz w:val="24"/>
            <w:szCs w:val="22"/>
          </w:rPr>
          <w:t xml:space="preserve">2 </w:t>
        </w:r>
        <w:r w:rsidR="005C380A">
          <w:rPr>
            <w:rFonts w:ascii="Times New Roman" w:hAnsi="Times New Roman" w:hint="eastAsia"/>
            <w:noProof/>
            <w:sz w:val="24"/>
            <w:szCs w:val="22"/>
          </w:rPr>
          <w:t>企业概况</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_Toc10150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5</w:t>
        </w:r>
        <w:r w:rsidR="005C380A">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1024" w:history="1">
        <w:r w:rsidR="005C380A">
          <w:rPr>
            <w:rFonts w:hint="eastAsia"/>
            <w:noProof/>
          </w:rPr>
          <w:t xml:space="preserve">2.1 </w:t>
        </w:r>
        <w:r w:rsidR="005C380A">
          <w:rPr>
            <w:rFonts w:hint="eastAsia"/>
            <w:noProof/>
          </w:rPr>
          <w:t>企业基础信息</w:t>
        </w:r>
        <w:r w:rsidR="005C380A">
          <w:rPr>
            <w:noProof/>
          </w:rPr>
          <w:tab/>
        </w:r>
        <w:r w:rsidR="005C380A">
          <w:rPr>
            <w:noProof/>
          </w:rPr>
          <w:fldChar w:fldCharType="begin"/>
        </w:r>
        <w:r w:rsidR="005C380A">
          <w:rPr>
            <w:noProof/>
          </w:rPr>
          <w:instrText xml:space="preserve"> PAGEREF _Toc1024 \h </w:instrText>
        </w:r>
        <w:r w:rsidR="005C380A">
          <w:rPr>
            <w:noProof/>
          </w:rPr>
        </w:r>
        <w:r w:rsidR="005C380A">
          <w:rPr>
            <w:noProof/>
          </w:rPr>
          <w:fldChar w:fldCharType="separate"/>
        </w:r>
        <w:r w:rsidR="00F74FB3">
          <w:rPr>
            <w:noProof/>
          </w:rPr>
          <w:t>5</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12357" w:history="1">
        <w:r w:rsidR="005C380A">
          <w:rPr>
            <w:rFonts w:hint="eastAsia"/>
            <w:noProof/>
          </w:rPr>
          <w:t xml:space="preserve">2.2 </w:t>
        </w:r>
        <w:r w:rsidR="005C380A">
          <w:rPr>
            <w:rFonts w:hint="eastAsia"/>
            <w:noProof/>
          </w:rPr>
          <w:t>建设项目概况</w:t>
        </w:r>
        <w:r w:rsidR="005C380A">
          <w:rPr>
            <w:noProof/>
          </w:rPr>
          <w:tab/>
        </w:r>
        <w:r w:rsidR="005C380A">
          <w:rPr>
            <w:noProof/>
          </w:rPr>
          <w:fldChar w:fldCharType="begin"/>
        </w:r>
        <w:r w:rsidR="005C380A">
          <w:rPr>
            <w:noProof/>
          </w:rPr>
          <w:instrText xml:space="preserve"> PAGEREF _Toc12357 \h </w:instrText>
        </w:r>
        <w:r w:rsidR="005C380A">
          <w:rPr>
            <w:noProof/>
          </w:rPr>
        </w:r>
        <w:r w:rsidR="005C380A">
          <w:rPr>
            <w:noProof/>
          </w:rPr>
          <w:fldChar w:fldCharType="separate"/>
        </w:r>
        <w:r w:rsidR="00F74FB3">
          <w:rPr>
            <w:noProof/>
          </w:rPr>
          <w:t>5</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2892" w:history="1">
        <w:r w:rsidR="005C380A">
          <w:rPr>
            <w:rFonts w:hint="eastAsia"/>
            <w:noProof/>
          </w:rPr>
          <w:t xml:space="preserve">2.3 </w:t>
        </w:r>
        <w:r w:rsidR="005C380A">
          <w:rPr>
            <w:rFonts w:hint="eastAsia"/>
            <w:noProof/>
          </w:rPr>
          <w:t>生产工艺及产排污环节</w:t>
        </w:r>
        <w:r w:rsidR="005C380A">
          <w:rPr>
            <w:noProof/>
          </w:rPr>
          <w:tab/>
        </w:r>
        <w:r w:rsidR="005C380A">
          <w:rPr>
            <w:noProof/>
          </w:rPr>
          <w:fldChar w:fldCharType="begin"/>
        </w:r>
        <w:r w:rsidR="005C380A">
          <w:rPr>
            <w:noProof/>
          </w:rPr>
          <w:instrText xml:space="preserve"> PAGEREF _Toc22892 \h </w:instrText>
        </w:r>
        <w:r w:rsidR="005C380A">
          <w:rPr>
            <w:noProof/>
          </w:rPr>
        </w:r>
        <w:r w:rsidR="005C380A">
          <w:rPr>
            <w:noProof/>
          </w:rPr>
          <w:fldChar w:fldCharType="separate"/>
        </w:r>
        <w:r w:rsidR="00F74FB3">
          <w:rPr>
            <w:noProof/>
          </w:rPr>
          <w:t>7</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15944" w:history="1">
        <w:r w:rsidR="005C380A">
          <w:rPr>
            <w:rFonts w:hint="eastAsia"/>
            <w:noProof/>
          </w:rPr>
          <w:t xml:space="preserve">2.4 </w:t>
        </w:r>
        <w:r w:rsidR="005C380A">
          <w:rPr>
            <w:rFonts w:hint="eastAsia"/>
            <w:noProof/>
          </w:rPr>
          <w:t>企业现有生产规模</w:t>
        </w:r>
        <w:r w:rsidR="005C380A">
          <w:rPr>
            <w:noProof/>
          </w:rPr>
          <w:tab/>
        </w:r>
        <w:r w:rsidR="005C380A">
          <w:rPr>
            <w:noProof/>
          </w:rPr>
          <w:fldChar w:fldCharType="begin"/>
        </w:r>
        <w:r w:rsidR="005C380A">
          <w:rPr>
            <w:noProof/>
          </w:rPr>
          <w:instrText xml:space="preserve"> PAGEREF _Toc15944 \h </w:instrText>
        </w:r>
        <w:r w:rsidR="005C380A">
          <w:rPr>
            <w:noProof/>
          </w:rPr>
        </w:r>
        <w:r w:rsidR="005C380A">
          <w:rPr>
            <w:noProof/>
          </w:rPr>
          <w:fldChar w:fldCharType="separate"/>
        </w:r>
        <w:r w:rsidR="00F74FB3">
          <w:rPr>
            <w:noProof/>
          </w:rPr>
          <w:t>15</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8720" w:history="1">
        <w:r w:rsidR="005C380A">
          <w:rPr>
            <w:rFonts w:hint="eastAsia"/>
            <w:noProof/>
          </w:rPr>
          <w:t xml:space="preserve">2.5 </w:t>
        </w:r>
        <w:r w:rsidR="005C380A">
          <w:rPr>
            <w:rFonts w:hint="eastAsia"/>
            <w:noProof/>
          </w:rPr>
          <w:t>涉及的有毒有害物质</w:t>
        </w:r>
        <w:r w:rsidR="005C380A">
          <w:rPr>
            <w:noProof/>
          </w:rPr>
          <w:tab/>
        </w:r>
        <w:r w:rsidR="005C380A">
          <w:rPr>
            <w:noProof/>
          </w:rPr>
          <w:fldChar w:fldCharType="begin"/>
        </w:r>
        <w:r w:rsidR="005C380A">
          <w:rPr>
            <w:noProof/>
          </w:rPr>
          <w:instrText xml:space="preserve"> PAGEREF _Toc28720 \h </w:instrText>
        </w:r>
        <w:r w:rsidR="005C380A">
          <w:rPr>
            <w:noProof/>
          </w:rPr>
        </w:r>
        <w:r w:rsidR="005C380A">
          <w:rPr>
            <w:noProof/>
          </w:rPr>
          <w:fldChar w:fldCharType="separate"/>
        </w:r>
        <w:r w:rsidR="00F74FB3">
          <w:rPr>
            <w:noProof/>
          </w:rPr>
          <w:t>15</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9878" w:history="1">
        <w:r w:rsidR="005C380A">
          <w:rPr>
            <w:rFonts w:hint="eastAsia"/>
            <w:noProof/>
          </w:rPr>
          <w:t xml:space="preserve">2.6 </w:t>
        </w:r>
        <w:r w:rsidR="005C380A">
          <w:rPr>
            <w:rFonts w:hint="eastAsia"/>
            <w:noProof/>
          </w:rPr>
          <w:t>污染防治措施</w:t>
        </w:r>
        <w:r w:rsidR="005C380A">
          <w:rPr>
            <w:noProof/>
          </w:rPr>
          <w:tab/>
        </w:r>
        <w:r w:rsidR="005C380A">
          <w:rPr>
            <w:noProof/>
          </w:rPr>
          <w:fldChar w:fldCharType="begin"/>
        </w:r>
        <w:r w:rsidR="005C380A">
          <w:rPr>
            <w:noProof/>
          </w:rPr>
          <w:instrText xml:space="preserve"> PAGEREF _Toc29878 \h </w:instrText>
        </w:r>
        <w:r w:rsidR="005C380A">
          <w:rPr>
            <w:noProof/>
          </w:rPr>
        </w:r>
        <w:r w:rsidR="005C380A">
          <w:rPr>
            <w:noProof/>
          </w:rPr>
          <w:fldChar w:fldCharType="separate"/>
        </w:r>
        <w:r w:rsidR="00F74FB3">
          <w:rPr>
            <w:noProof/>
          </w:rPr>
          <w:t>17</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9560" w:history="1">
        <w:r w:rsidR="005C380A">
          <w:rPr>
            <w:rFonts w:ascii="Times New Roman" w:hAnsi="Times New Roman" w:hint="eastAsia"/>
            <w:noProof/>
            <w:sz w:val="24"/>
            <w:szCs w:val="22"/>
          </w:rPr>
          <w:t xml:space="preserve">3 </w:t>
        </w:r>
        <w:r w:rsidR="005C380A">
          <w:rPr>
            <w:rFonts w:ascii="Times New Roman" w:hAnsi="Times New Roman" w:hint="eastAsia"/>
            <w:noProof/>
            <w:sz w:val="24"/>
            <w:szCs w:val="22"/>
          </w:rPr>
          <w:t>排查方法</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_Toc9560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19</w:t>
        </w:r>
        <w:r w:rsidR="005C380A">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29187" w:history="1">
        <w:r w:rsidR="005C380A">
          <w:rPr>
            <w:rFonts w:hint="eastAsia"/>
            <w:noProof/>
          </w:rPr>
          <w:t xml:space="preserve">3.1 </w:t>
        </w:r>
        <w:r w:rsidR="005C380A">
          <w:rPr>
            <w:rFonts w:hint="eastAsia"/>
            <w:noProof/>
          </w:rPr>
          <w:t>资料收集</w:t>
        </w:r>
        <w:r w:rsidR="005C380A">
          <w:rPr>
            <w:noProof/>
          </w:rPr>
          <w:tab/>
        </w:r>
        <w:r w:rsidR="005C380A">
          <w:rPr>
            <w:noProof/>
          </w:rPr>
          <w:fldChar w:fldCharType="begin"/>
        </w:r>
        <w:r w:rsidR="005C380A">
          <w:rPr>
            <w:noProof/>
          </w:rPr>
          <w:instrText xml:space="preserve"> PAGEREF _Toc29187 \h </w:instrText>
        </w:r>
        <w:r w:rsidR="005C380A">
          <w:rPr>
            <w:noProof/>
          </w:rPr>
        </w:r>
        <w:r w:rsidR="005C380A">
          <w:rPr>
            <w:noProof/>
          </w:rPr>
          <w:fldChar w:fldCharType="separate"/>
        </w:r>
        <w:r w:rsidR="00F74FB3">
          <w:rPr>
            <w:noProof/>
          </w:rPr>
          <w:t>19</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5787" w:history="1">
        <w:r w:rsidR="005C380A">
          <w:rPr>
            <w:rFonts w:hint="eastAsia"/>
            <w:noProof/>
          </w:rPr>
          <w:t xml:space="preserve">3.2 </w:t>
        </w:r>
        <w:r w:rsidR="005C380A">
          <w:rPr>
            <w:rFonts w:hint="eastAsia"/>
            <w:noProof/>
          </w:rPr>
          <w:t>人员访谈</w:t>
        </w:r>
        <w:r w:rsidR="005C380A">
          <w:rPr>
            <w:noProof/>
          </w:rPr>
          <w:tab/>
        </w:r>
        <w:r w:rsidR="005C380A">
          <w:rPr>
            <w:noProof/>
          </w:rPr>
          <w:fldChar w:fldCharType="begin"/>
        </w:r>
        <w:r w:rsidR="005C380A">
          <w:rPr>
            <w:noProof/>
          </w:rPr>
          <w:instrText xml:space="preserve"> PAGEREF _Toc25787 \h </w:instrText>
        </w:r>
        <w:r w:rsidR="005C380A">
          <w:rPr>
            <w:noProof/>
          </w:rPr>
        </w:r>
        <w:r w:rsidR="005C380A">
          <w:rPr>
            <w:noProof/>
          </w:rPr>
          <w:fldChar w:fldCharType="separate"/>
        </w:r>
        <w:r w:rsidR="00F74FB3">
          <w:rPr>
            <w:noProof/>
          </w:rPr>
          <w:t>19</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5881" w:history="1">
        <w:r w:rsidR="005C380A">
          <w:rPr>
            <w:rFonts w:hint="eastAsia"/>
            <w:noProof/>
          </w:rPr>
          <w:t xml:space="preserve">3.3 </w:t>
        </w:r>
        <w:r w:rsidR="005C380A">
          <w:rPr>
            <w:rFonts w:hint="eastAsia"/>
            <w:noProof/>
          </w:rPr>
          <w:t>重点场所或重点设施设备确定</w:t>
        </w:r>
        <w:r w:rsidR="005C380A">
          <w:rPr>
            <w:noProof/>
          </w:rPr>
          <w:tab/>
        </w:r>
        <w:r w:rsidR="005C380A">
          <w:rPr>
            <w:noProof/>
          </w:rPr>
          <w:fldChar w:fldCharType="begin"/>
        </w:r>
        <w:r w:rsidR="005C380A">
          <w:rPr>
            <w:noProof/>
          </w:rPr>
          <w:instrText xml:space="preserve"> PAGEREF _Toc25881 \h </w:instrText>
        </w:r>
        <w:r w:rsidR="005C380A">
          <w:rPr>
            <w:noProof/>
          </w:rPr>
        </w:r>
        <w:r w:rsidR="005C380A">
          <w:rPr>
            <w:noProof/>
          </w:rPr>
          <w:fldChar w:fldCharType="separate"/>
        </w:r>
        <w:r w:rsidR="00F74FB3">
          <w:rPr>
            <w:noProof/>
          </w:rPr>
          <w:t>20</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9278" w:history="1">
        <w:r w:rsidR="005C380A">
          <w:rPr>
            <w:rFonts w:hint="eastAsia"/>
            <w:noProof/>
          </w:rPr>
          <w:t xml:space="preserve">3.4 </w:t>
        </w:r>
        <w:r w:rsidR="005C380A">
          <w:rPr>
            <w:rFonts w:hint="eastAsia"/>
            <w:noProof/>
          </w:rPr>
          <w:t>现场排查方法</w:t>
        </w:r>
        <w:r w:rsidR="005C380A">
          <w:rPr>
            <w:noProof/>
          </w:rPr>
          <w:tab/>
        </w:r>
        <w:r w:rsidR="005C380A">
          <w:rPr>
            <w:noProof/>
          </w:rPr>
          <w:fldChar w:fldCharType="begin"/>
        </w:r>
        <w:r w:rsidR="005C380A">
          <w:rPr>
            <w:noProof/>
          </w:rPr>
          <w:instrText xml:space="preserve"> PAGEREF _Toc29278 \h </w:instrText>
        </w:r>
        <w:r w:rsidR="005C380A">
          <w:rPr>
            <w:noProof/>
          </w:rPr>
        </w:r>
        <w:r w:rsidR="005C380A">
          <w:rPr>
            <w:noProof/>
          </w:rPr>
          <w:fldChar w:fldCharType="separate"/>
        </w:r>
        <w:r w:rsidR="00F74FB3">
          <w:rPr>
            <w:noProof/>
          </w:rPr>
          <w:t>20</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6048" w:history="1">
        <w:r w:rsidR="005C380A">
          <w:rPr>
            <w:rFonts w:ascii="Times New Roman" w:hAnsi="Times New Roman" w:hint="eastAsia"/>
            <w:noProof/>
            <w:sz w:val="24"/>
            <w:szCs w:val="22"/>
          </w:rPr>
          <w:t xml:space="preserve">4 </w:t>
        </w:r>
        <w:r w:rsidR="005C380A">
          <w:rPr>
            <w:rFonts w:ascii="Times New Roman" w:hAnsi="Times New Roman" w:hint="eastAsia"/>
            <w:noProof/>
            <w:sz w:val="24"/>
            <w:szCs w:val="22"/>
          </w:rPr>
          <w:t>土壤污染隐患排查</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_Toc6048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22</w:t>
        </w:r>
        <w:r w:rsidR="005C380A">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6173" w:history="1">
        <w:r w:rsidR="005C380A">
          <w:rPr>
            <w:rFonts w:hint="eastAsia"/>
            <w:noProof/>
          </w:rPr>
          <w:t xml:space="preserve">4.1 </w:t>
        </w:r>
        <w:r w:rsidR="005C380A">
          <w:rPr>
            <w:rFonts w:hint="eastAsia"/>
            <w:noProof/>
          </w:rPr>
          <w:t>重点区域、重点设施设备隐患排查</w:t>
        </w:r>
        <w:r w:rsidR="005C380A">
          <w:rPr>
            <w:noProof/>
          </w:rPr>
          <w:tab/>
        </w:r>
        <w:r w:rsidR="005C380A">
          <w:rPr>
            <w:noProof/>
          </w:rPr>
          <w:fldChar w:fldCharType="begin"/>
        </w:r>
        <w:r w:rsidR="005C380A">
          <w:rPr>
            <w:noProof/>
          </w:rPr>
          <w:instrText xml:space="preserve"> PAGEREF _Toc6173 \h </w:instrText>
        </w:r>
        <w:r w:rsidR="005C380A">
          <w:rPr>
            <w:noProof/>
          </w:rPr>
        </w:r>
        <w:r w:rsidR="005C380A">
          <w:rPr>
            <w:noProof/>
          </w:rPr>
          <w:fldChar w:fldCharType="separate"/>
        </w:r>
        <w:r w:rsidR="00F74FB3">
          <w:rPr>
            <w:noProof/>
          </w:rPr>
          <w:t>22</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32654" w:history="1">
        <w:r w:rsidR="005C380A">
          <w:rPr>
            <w:rFonts w:ascii="Times New Roman" w:hAnsi="Times New Roman" w:hint="eastAsia"/>
            <w:noProof/>
            <w:sz w:val="24"/>
            <w:szCs w:val="22"/>
            <w:lang w:val="zh-CN"/>
          </w:rPr>
          <w:t>5</w:t>
        </w:r>
        <w:r w:rsidR="005C380A">
          <w:rPr>
            <w:rFonts w:ascii="Times New Roman" w:hAnsi="Times New Roman" w:hint="eastAsia"/>
            <w:noProof/>
            <w:sz w:val="24"/>
            <w:szCs w:val="22"/>
          </w:rPr>
          <w:t xml:space="preserve"> </w:t>
        </w:r>
        <w:r w:rsidR="005C380A">
          <w:rPr>
            <w:rFonts w:ascii="Times New Roman" w:hAnsi="Times New Roman" w:hint="eastAsia"/>
            <w:noProof/>
            <w:sz w:val="24"/>
            <w:szCs w:val="22"/>
            <w:lang w:val="zh-CN"/>
          </w:rPr>
          <w:t>土壤与地下水调查监测</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_Toc32654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33</w:t>
        </w:r>
        <w:r w:rsidR="005C380A">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8561" w:history="1">
        <w:r w:rsidR="005C380A">
          <w:rPr>
            <w:rFonts w:hint="eastAsia"/>
            <w:noProof/>
            <w:lang w:val="zh-CN"/>
          </w:rPr>
          <w:t>5.1</w:t>
        </w:r>
        <w:r w:rsidR="005C380A">
          <w:rPr>
            <w:rFonts w:hint="eastAsia"/>
            <w:noProof/>
          </w:rPr>
          <w:t xml:space="preserve"> </w:t>
        </w:r>
        <w:r w:rsidR="005C380A">
          <w:rPr>
            <w:rFonts w:hint="eastAsia"/>
            <w:noProof/>
            <w:lang w:val="zh-CN"/>
          </w:rPr>
          <w:t>监测点设置</w:t>
        </w:r>
        <w:r w:rsidR="005C380A">
          <w:rPr>
            <w:noProof/>
          </w:rPr>
          <w:tab/>
        </w:r>
        <w:r w:rsidR="005C380A">
          <w:rPr>
            <w:noProof/>
          </w:rPr>
          <w:fldChar w:fldCharType="begin"/>
        </w:r>
        <w:r w:rsidR="005C380A">
          <w:rPr>
            <w:noProof/>
          </w:rPr>
          <w:instrText xml:space="preserve"> PAGEREF _Toc8561 \h </w:instrText>
        </w:r>
        <w:r w:rsidR="005C380A">
          <w:rPr>
            <w:noProof/>
          </w:rPr>
        </w:r>
        <w:r w:rsidR="005C380A">
          <w:rPr>
            <w:noProof/>
          </w:rPr>
          <w:fldChar w:fldCharType="separate"/>
        </w:r>
        <w:r w:rsidR="00F74FB3">
          <w:rPr>
            <w:noProof/>
          </w:rPr>
          <w:t>33</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14928" w:history="1">
        <w:r w:rsidR="005C380A">
          <w:rPr>
            <w:noProof/>
          </w:rPr>
          <w:t>5.</w:t>
        </w:r>
        <w:r w:rsidR="005C380A">
          <w:rPr>
            <w:rFonts w:hint="eastAsia"/>
            <w:noProof/>
          </w:rPr>
          <w:t xml:space="preserve">2 </w:t>
        </w:r>
        <w:r w:rsidR="005C380A">
          <w:rPr>
            <w:rFonts w:hint="eastAsia"/>
            <w:noProof/>
          </w:rPr>
          <w:t>监测因子</w:t>
        </w:r>
        <w:r w:rsidR="005C380A">
          <w:rPr>
            <w:noProof/>
          </w:rPr>
          <w:tab/>
        </w:r>
        <w:r w:rsidR="005C380A">
          <w:rPr>
            <w:noProof/>
          </w:rPr>
          <w:fldChar w:fldCharType="begin"/>
        </w:r>
        <w:r w:rsidR="005C380A">
          <w:rPr>
            <w:noProof/>
          </w:rPr>
          <w:instrText xml:space="preserve"> PAGEREF _Toc14928 \h </w:instrText>
        </w:r>
        <w:r w:rsidR="005C380A">
          <w:rPr>
            <w:noProof/>
          </w:rPr>
        </w:r>
        <w:r w:rsidR="005C380A">
          <w:rPr>
            <w:noProof/>
          </w:rPr>
          <w:fldChar w:fldCharType="separate"/>
        </w:r>
        <w:r w:rsidR="00F74FB3">
          <w:rPr>
            <w:noProof/>
          </w:rPr>
          <w:t>40</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7819" w:history="1">
        <w:r w:rsidR="005C380A">
          <w:rPr>
            <w:rFonts w:hint="eastAsia"/>
            <w:noProof/>
            <w:lang w:val="zh-CN"/>
          </w:rPr>
          <w:t>5.</w:t>
        </w:r>
        <w:r w:rsidR="005C380A">
          <w:rPr>
            <w:rFonts w:hint="eastAsia"/>
            <w:noProof/>
          </w:rPr>
          <w:t xml:space="preserve">3 </w:t>
        </w:r>
        <w:r w:rsidR="005C380A">
          <w:rPr>
            <w:noProof/>
          </w:rPr>
          <w:t>质量保证和质量控制</w:t>
        </w:r>
        <w:r w:rsidR="005C380A">
          <w:rPr>
            <w:noProof/>
          </w:rPr>
          <w:tab/>
        </w:r>
        <w:r w:rsidR="005C380A">
          <w:rPr>
            <w:noProof/>
          </w:rPr>
          <w:fldChar w:fldCharType="begin"/>
        </w:r>
        <w:r w:rsidR="005C380A">
          <w:rPr>
            <w:noProof/>
          </w:rPr>
          <w:instrText xml:space="preserve"> PAGEREF _Toc7819 \h </w:instrText>
        </w:r>
        <w:r w:rsidR="005C380A">
          <w:rPr>
            <w:noProof/>
          </w:rPr>
        </w:r>
        <w:r w:rsidR="005C380A">
          <w:rPr>
            <w:noProof/>
          </w:rPr>
          <w:fldChar w:fldCharType="separate"/>
        </w:r>
        <w:r w:rsidR="00F74FB3">
          <w:rPr>
            <w:noProof/>
          </w:rPr>
          <w:t>41</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9729" w:history="1">
        <w:r w:rsidR="005C380A">
          <w:rPr>
            <w:noProof/>
          </w:rPr>
          <w:t>5.4</w:t>
        </w:r>
        <w:r w:rsidR="005C380A">
          <w:rPr>
            <w:rFonts w:hint="eastAsia"/>
            <w:noProof/>
          </w:rPr>
          <w:t xml:space="preserve"> </w:t>
        </w:r>
        <w:r w:rsidR="005C380A">
          <w:rPr>
            <w:noProof/>
          </w:rPr>
          <w:t>实验室分析</w:t>
        </w:r>
        <w:r w:rsidR="005C380A">
          <w:rPr>
            <w:noProof/>
          </w:rPr>
          <w:tab/>
        </w:r>
        <w:r w:rsidR="005C380A">
          <w:rPr>
            <w:noProof/>
          </w:rPr>
          <w:fldChar w:fldCharType="begin"/>
        </w:r>
        <w:r w:rsidR="005C380A">
          <w:rPr>
            <w:noProof/>
          </w:rPr>
          <w:instrText xml:space="preserve"> PAGEREF _Toc9729 \h </w:instrText>
        </w:r>
        <w:r w:rsidR="005C380A">
          <w:rPr>
            <w:noProof/>
          </w:rPr>
        </w:r>
        <w:r w:rsidR="005C380A">
          <w:rPr>
            <w:noProof/>
          </w:rPr>
          <w:fldChar w:fldCharType="separate"/>
        </w:r>
        <w:r w:rsidR="00F74FB3">
          <w:rPr>
            <w:noProof/>
          </w:rPr>
          <w:t>41</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28956" w:history="1">
        <w:r w:rsidR="005C380A">
          <w:rPr>
            <w:noProof/>
          </w:rPr>
          <w:t xml:space="preserve">5.5 </w:t>
        </w:r>
        <w:r w:rsidR="005C380A">
          <w:rPr>
            <w:noProof/>
          </w:rPr>
          <w:t>检测结果与评价</w:t>
        </w:r>
        <w:r w:rsidR="005C380A">
          <w:rPr>
            <w:noProof/>
          </w:rPr>
          <w:tab/>
        </w:r>
        <w:r w:rsidR="005C380A">
          <w:rPr>
            <w:noProof/>
          </w:rPr>
          <w:fldChar w:fldCharType="begin"/>
        </w:r>
        <w:r w:rsidR="005C380A">
          <w:rPr>
            <w:noProof/>
          </w:rPr>
          <w:instrText xml:space="preserve"> PAGEREF _Toc28956 \h </w:instrText>
        </w:r>
        <w:r w:rsidR="005C380A">
          <w:rPr>
            <w:noProof/>
          </w:rPr>
        </w:r>
        <w:r w:rsidR="005C380A">
          <w:rPr>
            <w:noProof/>
          </w:rPr>
          <w:fldChar w:fldCharType="separate"/>
        </w:r>
        <w:r w:rsidR="00F74FB3">
          <w:rPr>
            <w:noProof/>
          </w:rPr>
          <w:t>44</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12680" w:history="1">
        <w:r w:rsidR="005C380A">
          <w:rPr>
            <w:rFonts w:ascii="Times New Roman" w:hAnsi="Times New Roman" w:hint="eastAsia"/>
            <w:noProof/>
            <w:sz w:val="24"/>
            <w:szCs w:val="22"/>
          </w:rPr>
          <w:t xml:space="preserve">6 </w:t>
        </w:r>
        <w:r w:rsidR="005C380A">
          <w:rPr>
            <w:rFonts w:ascii="Times New Roman" w:hAnsi="Times New Roman" w:hint="eastAsia"/>
            <w:noProof/>
            <w:sz w:val="24"/>
            <w:szCs w:val="22"/>
          </w:rPr>
          <w:t>结论和建议</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_Toc12680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55</w:t>
        </w:r>
        <w:r w:rsidR="005C380A">
          <w:rPr>
            <w:rFonts w:ascii="Times New Roman" w:hAnsi="Times New Roman"/>
            <w:noProof/>
            <w:sz w:val="24"/>
            <w:szCs w:val="22"/>
          </w:rPr>
          <w:fldChar w:fldCharType="end"/>
        </w:r>
      </w:hyperlink>
    </w:p>
    <w:p w:rsidR="002E0378" w:rsidRDefault="00F43F73" w:rsidP="0090536A">
      <w:pPr>
        <w:pStyle w:val="20"/>
        <w:tabs>
          <w:tab w:val="right" w:leader="dot" w:pos="8640"/>
        </w:tabs>
        <w:spacing w:line="360" w:lineRule="auto"/>
        <w:ind w:left="420"/>
        <w:rPr>
          <w:noProof/>
        </w:rPr>
      </w:pPr>
      <w:hyperlink w:anchor="_Toc30845" w:history="1">
        <w:r w:rsidR="005C380A">
          <w:rPr>
            <w:rFonts w:hint="eastAsia"/>
            <w:noProof/>
          </w:rPr>
          <w:t xml:space="preserve">6.1 </w:t>
        </w:r>
        <w:r w:rsidR="005C380A">
          <w:rPr>
            <w:rFonts w:hint="eastAsia"/>
            <w:noProof/>
          </w:rPr>
          <w:t>隐患排查结论</w:t>
        </w:r>
        <w:r w:rsidR="005C380A">
          <w:rPr>
            <w:noProof/>
          </w:rPr>
          <w:tab/>
        </w:r>
        <w:r w:rsidR="005C380A">
          <w:rPr>
            <w:noProof/>
          </w:rPr>
          <w:fldChar w:fldCharType="begin"/>
        </w:r>
        <w:r w:rsidR="005C380A">
          <w:rPr>
            <w:noProof/>
          </w:rPr>
          <w:instrText xml:space="preserve"> PAGEREF _Toc30845 \h </w:instrText>
        </w:r>
        <w:r w:rsidR="005C380A">
          <w:rPr>
            <w:noProof/>
          </w:rPr>
        </w:r>
        <w:r w:rsidR="005C380A">
          <w:rPr>
            <w:noProof/>
          </w:rPr>
          <w:fldChar w:fldCharType="separate"/>
        </w:r>
        <w:r w:rsidR="00F74FB3">
          <w:rPr>
            <w:noProof/>
          </w:rPr>
          <w:t>55</w:t>
        </w:r>
        <w:r w:rsidR="005C380A">
          <w:rPr>
            <w:noProof/>
          </w:rPr>
          <w:fldChar w:fldCharType="end"/>
        </w:r>
      </w:hyperlink>
    </w:p>
    <w:p w:rsidR="002E0378" w:rsidRDefault="00F43F73" w:rsidP="0090536A">
      <w:pPr>
        <w:pStyle w:val="20"/>
        <w:tabs>
          <w:tab w:val="right" w:leader="dot" w:pos="8640"/>
        </w:tabs>
        <w:spacing w:line="360" w:lineRule="auto"/>
        <w:ind w:left="420"/>
        <w:rPr>
          <w:noProof/>
        </w:rPr>
      </w:pPr>
      <w:hyperlink w:anchor="_Toc673" w:history="1">
        <w:r w:rsidR="005C380A">
          <w:rPr>
            <w:rFonts w:hint="eastAsia"/>
            <w:noProof/>
          </w:rPr>
          <w:t xml:space="preserve">6.2 </w:t>
        </w:r>
        <w:r w:rsidR="005C380A">
          <w:rPr>
            <w:rFonts w:hint="eastAsia"/>
            <w:noProof/>
          </w:rPr>
          <w:t>对土壤和地下水自行监测工作建议</w:t>
        </w:r>
        <w:r w:rsidR="005C380A">
          <w:rPr>
            <w:noProof/>
          </w:rPr>
          <w:tab/>
        </w:r>
        <w:r w:rsidR="005C380A">
          <w:rPr>
            <w:noProof/>
          </w:rPr>
          <w:fldChar w:fldCharType="begin"/>
        </w:r>
        <w:r w:rsidR="005C380A">
          <w:rPr>
            <w:noProof/>
          </w:rPr>
          <w:instrText xml:space="preserve"> PAGEREF _Toc673 \h </w:instrText>
        </w:r>
        <w:r w:rsidR="005C380A">
          <w:rPr>
            <w:noProof/>
          </w:rPr>
        </w:r>
        <w:r w:rsidR="005C380A">
          <w:rPr>
            <w:noProof/>
          </w:rPr>
          <w:fldChar w:fldCharType="separate"/>
        </w:r>
        <w:r w:rsidR="00F74FB3">
          <w:rPr>
            <w:noProof/>
          </w:rPr>
          <w:t>55</w:t>
        </w:r>
        <w:r w:rsidR="005C380A">
          <w:rPr>
            <w:noProof/>
          </w:rPr>
          <w:fldChar w:fldCharType="end"/>
        </w:r>
      </w:hyperlink>
    </w:p>
    <w:p w:rsidR="002E0378" w:rsidRDefault="00F43F73">
      <w:pPr>
        <w:pStyle w:val="10"/>
        <w:tabs>
          <w:tab w:val="right" w:leader="dot" w:pos="8640"/>
        </w:tabs>
        <w:spacing w:line="360" w:lineRule="auto"/>
        <w:rPr>
          <w:rFonts w:ascii="Times New Roman" w:hAnsi="Times New Roman"/>
          <w:noProof/>
          <w:sz w:val="24"/>
          <w:szCs w:val="22"/>
        </w:rPr>
      </w:pPr>
      <w:hyperlink w:anchor="_Toc8224" w:history="1">
        <w:r w:rsidR="005C380A">
          <w:rPr>
            <w:rFonts w:ascii="Times New Roman" w:hAnsi="Times New Roman"/>
            <w:noProof/>
            <w:sz w:val="24"/>
            <w:szCs w:val="22"/>
          </w:rPr>
          <w:t>7</w:t>
        </w:r>
        <w:r w:rsidR="005C380A">
          <w:rPr>
            <w:rFonts w:ascii="Times New Roman" w:hAnsi="Times New Roman" w:hint="eastAsia"/>
            <w:noProof/>
            <w:sz w:val="24"/>
            <w:szCs w:val="22"/>
          </w:rPr>
          <w:t xml:space="preserve"> </w:t>
        </w:r>
        <w:r w:rsidR="005C380A">
          <w:rPr>
            <w:rFonts w:ascii="Times New Roman" w:hAnsi="Times New Roman" w:hint="eastAsia"/>
            <w:noProof/>
            <w:sz w:val="24"/>
            <w:szCs w:val="22"/>
          </w:rPr>
          <w:t>附件</w:t>
        </w:r>
        <w:r w:rsidR="005C380A">
          <w:rPr>
            <w:rFonts w:ascii="Times New Roman" w:hAnsi="Times New Roman"/>
            <w:noProof/>
            <w:sz w:val="24"/>
            <w:szCs w:val="22"/>
          </w:rPr>
          <w:tab/>
        </w:r>
        <w:r w:rsidR="005C380A">
          <w:rPr>
            <w:rFonts w:ascii="Times New Roman" w:hAnsi="Times New Roman"/>
            <w:noProof/>
            <w:sz w:val="24"/>
            <w:szCs w:val="22"/>
          </w:rPr>
          <w:fldChar w:fldCharType="begin"/>
        </w:r>
        <w:r w:rsidR="005C380A">
          <w:rPr>
            <w:rFonts w:ascii="Times New Roman" w:hAnsi="Times New Roman"/>
            <w:noProof/>
            <w:sz w:val="24"/>
            <w:szCs w:val="22"/>
          </w:rPr>
          <w:instrText xml:space="preserve"> PAGEREF _Toc8224 \h </w:instrText>
        </w:r>
        <w:r w:rsidR="005C380A">
          <w:rPr>
            <w:rFonts w:ascii="Times New Roman" w:hAnsi="Times New Roman"/>
            <w:noProof/>
            <w:sz w:val="24"/>
            <w:szCs w:val="22"/>
          </w:rPr>
        </w:r>
        <w:r w:rsidR="005C380A">
          <w:rPr>
            <w:rFonts w:ascii="Times New Roman" w:hAnsi="Times New Roman"/>
            <w:noProof/>
            <w:sz w:val="24"/>
            <w:szCs w:val="22"/>
          </w:rPr>
          <w:fldChar w:fldCharType="separate"/>
        </w:r>
        <w:r w:rsidR="00F74FB3">
          <w:rPr>
            <w:rFonts w:ascii="Times New Roman" w:hAnsi="Times New Roman"/>
            <w:noProof/>
            <w:sz w:val="24"/>
            <w:szCs w:val="22"/>
          </w:rPr>
          <w:t>56</w:t>
        </w:r>
        <w:r w:rsidR="005C380A">
          <w:rPr>
            <w:rFonts w:ascii="Times New Roman" w:hAnsi="Times New Roman"/>
            <w:noProof/>
            <w:sz w:val="24"/>
            <w:szCs w:val="22"/>
          </w:rPr>
          <w:fldChar w:fldCharType="end"/>
        </w:r>
      </w:hyperlink>
    </w:p>
    <w:p w:rsidR="002E0378" w:rsidRDefault="00F43F73">
      <w:pPr>
        <w:pStyle w:val="20"/>
        <w:tabs>
          <w:tab w:val="right" w:leader="dot" w:pos="8640"/>
        </w:tabs>
        <w:spacing w:line="360" w:lineRule="auto"/>
        <w:ind w:leftChars="0" w:left="0" w:firstLineChars="200" w:firstLine="480"/>
        <w:rPr>
          <w:noProof/>
        </w:rPr>
      </w:pPr>
      <w:hyperlink w:anchor="_Toc18703" w:history="1">
        <w:r w:rsidR="005C380A">
          <w:rPr>
            <w:rFonts w:hint="eastAsia"/>
            <w:noProof/>
          </w:rPr>
          <w:t>附件</w:t>
        </w:r>
        <w:r w:rsidR="005C380A">
          <w:rPr>
            <w:rFonts w:hint="eastAsia"/>
            <w:noProof/>
          </w:rPr>
          <w:t xml:space="preserve">1 </w:t>
        </w:r>
        <w:r w:rsidR="005C380A">
          <w:rPr>
            <w:rFonts w:hint="eastAsia"/>
            <w:noProof/>
          </w:rPr>
          <w:t>厂区平面图</w:t>
        </w:r>
        <w:r w:rsidR="005C380A">
          <w:rPr>
            <w:noProof/>
          </w:rPr>
          <w:tab/>
        </w:r>
        <w:r w:rsidR="005C380A">
          <w:rPr>
            <w:noProof/>
          </w:rPr>
          <w:fldChar w:fldCharType="begin"/>
        </w:r>
        <w:r w:rsidR="005C380A">
          <w:rPr>
            <w:noProof/>
          </w:rPr>
          <w:instrText xml:space="preserve"> PAGEREF _Toc18703 \h </w:instrText>
        </w:r>
        <w:r w:rsidR="005C380A">
          <w:rPr>
            <w:noProof/>
          </w:rPr>
        </w:r>
        <w:r w:rsidR="005C380A">
          <w:rPr>
            <w:noProof/>
          </w:rPr>
          <w:fldChar w:fldCharType="separate"/>
        </w:r>
        <w:r w:rsidR="00F74FB3">
          <w:rPr>
            <w:noProof/>
          </w:rPr>
          <w:t>56</w:t>
        </w:r>
        <w:r w:rsidR="005C380A">
          <w:rPr>
            <w:noProof/>
          </w:rPr>
          <w:fldChar w:fldCharType="end"/>
        </w:r>
      </w:hyperlink>
    </w:p>
    <w:p w:rsidR="002E0378" w:rsidRDefault="005C380A">
      <w:pPr>
        <w:pStyle w:val="10"/>
        <w:tabs>
          <w:tab w:val="right" w:leader="dot" w:pos="8640"/>
        </w:tabs>
        <w:spacing w:line="360" w:lineRule="auto"/>
        <w:rPr>
          <w:rFonts w:ascii="Times New Roman" w:hAnsi="Times New Roman"/>
          <w:noProof/>
          <w:sz w:val="24"/>
          <w:szCs w:val="22"/>
        </w:rPr>
      </w:pPr>
      <w:r>
        <w:rPr>
          <w:rFonts w:ascii="Times New Roman" w:hAnsi="Times New Roman" w:hint="eastAsia"/>
          <w:noProof/>
          <w:sz w:val="24"/>
          <w:szCs w:val="22"/>
        </w:rPr>
        <w:t xml:space="preserve">    </w:t>
      </w:r>
      <w:hyperlink w:anchor="_Toc27242" w:history="1">
        <w:r>
          <w:rPr>
            <w:rFonts w:ascii="Times New Roman" w:hAnsi="Times New Roman" w:hint="eastAsia"/>
            <w:noProof/>
            <w:sz w:val="24"/>
            <w:szCs w:val="22"/>
          </w:rPr>
          <w:t>附件</w:t>
        </w:r>
        <w:r>
          <w:rPr>
            <w:rFonts w:ascii="Times New Roman" w:hAnsi="Times New Roman" w:hint="eastAsia"/>
            <w:noProof/>
            <w:sz w:val="24"/>
            <w:szCs w:val="22"/>
          </w:rPr>
          <w:t xml:space="preserve">2 </w:t>
        </w:r>
        <w:r>
          <w:rPr>
            <w:rFonts w:ascii="Times New Roman" w:hAnsi="Times New Roman" w:hint="eastAsia"/>
            <w:noProof/>
            <w:sz w:val="24"/>
            <w:szCs w:val="22"/>
          </w:rPr>
          <w:t>人员访谈记录表</w:t>
        </w:r>
        <w:r>
          <w:rPr>
            <w:rFonts w:ascii="Times New Roman" w:hAnsi="Times New Roman"/>
            <w:noProof/>
            <w:sz w:val="24"/>
            <w:szCs w:val="22"/>
          </w:rPr>
          <w:tab/>
        </w:r>
        <w:r>
          <w:rPr>
            <w:rFonts w:ascii="Times New Roman" w:hAnsi="Times New Roman"/>
            <w:noProof/>
            <w:sz w:val="24"/>
            <w:szCs w:val="22"/>
          </w:rPr>
          <w:fldChar w:fldCharType="begin"/>
        </w:r>
        <w:r>
          <w:rPr>
            <w:rFonts w:ascii="Times New Roman" w:hAnsi="Times New Roman"/>
            <w:noProof/>
            <w:sz w:val="24"/>
            <w:szCs w:val="22"/>
          </w:rPr>
          <w:instrText xml:space="preserve"> PAGEREF _Toc27242 \h </w:instrText>
        </w:r>
        <w:r>
          <w:rPr>
            <w:rFonts w:ascii="Times New Roman" w:hAnsi="Times New Roman"/>
            <w:noProof/>
            <w:sz w:val="24"/>
            <w:szCs w:val="22"/>
          </w:rPr>
        </w:r>
        <w:r>
          <w:rPr>
            <w:rFonts w:ascii="Times New Roman" w:hAnsi="Times New Roman"/>
            <w:noProof/>
            <w:sz w:val="24"/>
            <w:szCs w:val="22"/>
          </w:rPr>
          <w:fldChar w:fldCharType="separate"/>
        </w:r>
        <w:r w:rsidR="00F74FB3">
          <w:rPr>
            <w:rFonts w:ascii="Times New Roman" w:hAnsi="Times New Roman"/>
            <w:noProof/>
            <w:sz w:val="24"/>
            <w:szCs w:val="22"/>
          </w:rPr>
          <w:t>57</w:t>
        </w:r>
        <w:r>
          <w:rPr>
            <w:rFonts w:ascii="Times New Roman" w:hAnsi="Times New Roman"/>
            <w:noProof/>
            <w:sz w:val="24"/>
            <w:szCs w:val="22"/>
          </w:rPr>
          <w:fldChar w:fldCharType="end"/>
        </w:r>
      </w:hyperlink>
    </w:p>
    <w:p w:rsidR="002E0378" w:rsidRDefault="00F43F73">
      <w:pPr>
        <w:pStyle w:val="20"/>
        <w:tabs>
          <w:tab w:val="right" w:leader="dot" w:pos="8640"/>
        </w:tabs>
        <w:spacing w:line="360" w:lineRule="auto"/>
        <w:ind w:leftChars="0" w:left="0" w:firstLineChars="200" w:firstLine="480"/>
        <w:rPr>
          <w:noProof/>
        </w:rPr>
      </w:pPr>
      <w:hyperlink w:anchor="_Toc4243" w:history="1">
        <w:r w:rsidR="005C380A">
          <w:rPr>
            <w:rFonts w:hint="eastAsia"/>
            <w:noProof/>
          </w:rPr>
          <w:t>附件</w:t>
        </w:r>
        <w:r w:rsidR="005C380A">
          <w:rPr>
            <w:rFonts w:hint="eastAsia"/>
            <w:noProof/>
          </w:rPr>
          <w:t xml:space="preserve">3 </w:t>
        </w:r>
        <w:r w:rsidR="005C380A">
          <w:rPr>
            <w:rFonts w:hint="eastAsia"/>
            <w:noProof/>
          </w:rPr>
          <w:t>检测报告（土壤）</w:t>
        </w:r>
        <w:r w:rsidR="005C380A">
          <w:rPr>
            <w:noProof/>
          </w:rPr>
          <w:tab/>
        </w:r>
        <w:r w:rsidR="005C380A">
          <w:rPr>
            <w:noProof/>
          </w:rPr>
          <w:fldChar w:fldCharType="begin"/>
        </w:r>
        <w:r w:rsidR="005C380A">
          <w:rPr>
            <w:noProof/>
          </w:rPr>
          <w:instrText xml:space="preserve"> PAGEREF _Toc4243 \h </w:instrText>
        </w:r>
        <w:r w:rsidR="005C380A">
          <w:rPr>
            <w:noProof/>
          </w:rPr>
        </w:r>
        <w:r w:rsidR="005C380A">
          <w:rPr>
            <w:noProof/>
          </w:rPr>
          <w:fldChar w:fldCharType="separate"/>
        </w:r>
        <w:r w:rsidR="00F74FB3">
          <w:rPr>
            <w:noProof/>
          </w:rPr>
          <w:t>61</w:t>
        </w:r>
        <w:r w:rsidR="005C380A">
          <w:rPr>
            <w:noProof/>
          </w:rPr>
          <w:fldChar w:fldCharType="end"/>
        </w:r>
      </w:hyperlink>
    </w:p>
    <w:p w:rsidR="002E0378" w:rsidRDefault="005C380A">
      <w:pPr>
        <w:pStyle w:val="10"/>
        <w:tabs>
          <w:tab w:val="right" w:leader="dot" w:pos="8640"/>
        </w:tabs>
        <w:spacing w:line="360" w:lineRule="auto"/>
        <w:rPr>
          <w:rFonts w:ascii="Times New Roman" w:hAnsi="Times New Roman"/>
          <w:noProof/>
          <w:sz w:val="24"/>
          <w:szCs w:val="22"/>
        </w:rPr>
      </w:pPr>
      <w:r>
        <w:rPr>
          <w:rFonts w:ascii="Times New Roman" w:hAnsi="Times New Roman" w:hint="eastAsia"/>
          <w:noProof/>
          <w:sz w:val="24"/>
          <w:szCs w:val="22"/>
        </w:rPr>
        <w:t xml:space="preserve">    </w:t>
      </w:r>
      <w:hyperlink w:anchor="_Toc9055" w:history="1">
        <w:r>
          <w:rPr>
            <w:rFonts w:ascii="Times New Roman" w:hAnsi="Times New Roman" w:hint="eastAsia"/>
            <w:noProof/>
            <w:sz w:val="24"/>
            <w:szCs w:val="22"/>
          </w:rPr>
          <w:t>附件</w:t>
        </w:r>
        <w:r>
          <w:rPr>
            <w:rFonts w:ascii="Times New Roman" w:hAnsi="Times New Roman" w:hint="eastAsia"/>
            <w:noProof/>
            <w:sz w:val="24"/>
            <w:szCs w:val="22"/>
          </w:rPr>
          <w:t xml:space="preserve">4 </w:t>
        </w:r>
        <w:r>
          <w:rPr>
            <w:rFonts w:ascii="Times New Roman" w:hAnsi="Times New Roman" w:hint="eastAsia"/>
            <w:noProof/>
            <w:sz w:val="24"/>
            <w:szCs w:val="22"/>
          </w:rPr>
          <w:t>检测报告（地下水）</w:t>
        </w:r>
        <w:r>
          <w:rPr>
            <w:rFonts w:ascii="Times New Roman" w:hAnsi="Times New Roman"/>
            <w:noProof/>
            <w:sz w:val="24"/>
            <w:szCs w:val="22"/>
          </w:rPr>
          <w:tab/>
        </w:r>
        <w:r>
          <w:rPr>
            <w:rFonts w:ascii="Times New Roman" w:hAnsi="Times New Roman"/>
            <w:noProof/>
            <w:sz w:val="24"/>
            <w:szCs w:val="22"/>
          </w:rPr>
          <w:fldChar w:fldCharType="begin"/>
        </w:r>
        <w:r>
          <w:rPr>
            <w:rFonts w:ascii="Times New Roman" w:hAnsi="Times New Roman"/>
            <w:noProof/>
            <w:sz w:val="24"/>
            <w:szCs w:val="22"/>
          </w:rPr>
          <w:instrText xml:space="preserve"> PAGEREF _Toc9055 \h </w:instrText>
        </w:r>
        <w:r>
          <w:rPr>
            <w:rFonts w:ascii="Times New Roman" w:hAnsi="Times New Roman"/>
            <w:noProof/>
            <w:sz w:val="24"/>
            <w:szCs w:val="22"/>
          </w:rPr>
        </w:r>
        <w:r>
          <w:rPr>
            <w:rFonts w:ascii="Times New Roman" w:hAnsi="Times New Roman"/>
            <w:noProof/>
            <w:sz w:val="24"/>
            <w:szCs w:val="22"/>
          </w:rPr>
          <w:fldChar w:fldCharType="separate"/>
        </w:r>
        <w:r w:rsidR="00F74FB3">
          <w:rPr>
            <w:rFonts w:ascii="Times New Roman" w:hAnsi="Times New Roman"/>
            <w:noProof/>
            <w:sz w:val="24"/>
            <w:szCs w:val="22"/>
          </w:rPr>
          <w:t>133</w:t>
        </w:r>
        <w:r>
          <w:rPr>
            <w:rFonts w:ascii="Times New Roman" w:hAnsi="Times New Roman"/>
            <w:noProof/>
            <w:sz w:val="24"/>
            <w:szCs w:val="22"/>
          </w:rPr>
          <w:fldChar w:fldCharType="end"/>
        </w:r>
      </w:hyperlink>
    </w:p>
    <w:p w:rsidR="002E0378" w:rsidRDefault="00F43F73">
      <w:pPr>
        <w:pStyle w:val="20"/>
        <w:tabs>
          <w:tab w:val="right" w:leader="dot" w:pos="8640"/>
        </w:tabs>
        <w:spacing w:line="360" w:lineRule="auto"/>
        <w:ind w:leftChars="0" w:left="0" w:firstLineChars="200" w:firstLine="480"/>
        <w:rPr>
          <w:noProof/>
        </w:rPr>
      </w:pPr>
      <w:hyperlink w:anchor="_Toc12118" w:history="1">
        <w:r w:rsidR="005C380A">
          <w:rPr>
            <w:rFonts w:hint="eastAsia"/>
            <w:noProof/>
          </w:rPr>
          <w:t>附件</w:t>
        </w:r>
        <w:r w:rsidR="005C380A">
          <w:rPr>
            <w:rFonts w:hint="eastAsia"/>
            <w:noProof/>
          </w:rPr>
          <w:t xml:space="preserve">5 </w:t>
        </w:r>
        <w:r w:rsidR="005C380A">
          <w:rPr>
            <w:rFonts w:hint="eastAsia"/>
            <w:noProof/>
          </w:rPr>
          <w:t>涉及的有毒有害物质情况说明</w:t>
        </w:r>
        <w:r w:rsidR="005C380A">
          <w:rPr>
            <w:noProof/>
          </w:rPr>
          <w:tab/>
        </w:r>
        <w:r w:rsidR="005C380A">
          <w:rPr>
            <w:noProof/>
          </w:rPr>
          <w:fldChar w:fldCharType="begin"/>
        </w:r>
        <w:r w:rsidR="005C380A">
          <w:rPr>
            <w:noProof/>
          </w:rPr>
          <w:instrText xml:space="preserve"> PAGEREF _Toc12118 \h </w:instrText>
        </w:r>
        <w:r w:rsidR="005C380A">
          <w:rPr>
            <w:noProof/>
          </w:rPr>
        </w:r>
        <w:r w:rsidR="005C380A">
          <w:rPr>
            <w:noProof/>
          </w:rPr>
          <w:fldChar w:fldCharType="separate"/>
        </w:r>
        <w:r w:rsidR="00F74FB3">
          <w:rPr>
            <w:noProof/>
          </w:rPr>
          <w:t>146</w:t>
        </w:r>
        <w:r w:rsidR="005C380A">
          <w:rPr>
            <w:noProof/>
          </w:rPr>
          <w:fldChar w:fldCharType="end"/>
        </w:r>
      </w:hyperlink>
    </w:p>
    <w:p w:rsidR="002E0378" w:rsidRDefault="00F43F73">
      <w:pPr>
        <w:pStyle w:val="20"/>
        <w:tabs>
          <w:tab w:val="right" w:leader="dot" w:pos="8640"/>
        </w:tabs>
        <w:spacing w:line="360" w:lineRule="auto"/>
        <w:ind w:leftChars="0" w:left="0" w:firstLineChars="200" w:firstLine="480"/>
        <w:rPr>
          <w:noProof/>
        </w:rPr>
      </w:pPr>
      <w:hyperlink w:anchor="_Toc466" w:history="1">
        <w:r w:rsidR="005C380A">
          <w:rPr>
            <w:rFonts w:hint="eastAsia"/>
            <w:noProof/>
          </w:rPr>
          <w:t>附件</w:t>
        </w:r>
        <w:r w:rsidR="005C380A">
          <w:rPr>
            <w:rFonts w:hint="eastAsia"/>
            <w:noProof/>
          </w:rPr>
          <w:t xml:space="preserve">6 </w:t>
        </w:r>
        <w:r w:rsidR="005C380A">
          <w:rPr>
            <w:rFonts w:hint="eastAsia"/>
            <w:noProof/>
          </w:rPr>
          <w:t>重点场所清单</w:t>
        </w:r>
        <w:r w:rsidR="005C380A">
          <w:rPr>
            <w:noProof/>
          </w:rPr>
          <w:tab/>
        </w:r>
        <w:r w:rsidR="005C380A">
          <w:rPr>
            <w:noProof/>
          </w:rPr>
          <w:fldChar w:fldCharType="begin"/>
        </w:r>
        <w:r w:rsidR="005C380A">
          <w:rPr>
            <w:noProof/>
          </w:rPr>
          <w:instrText xml:space="preserve"> PAGEREF _Toc466 \h </w:instrText>
        </w:r>
        <w:r w:rsidR="005C380A">
          <w:rPr>
            <w:noProof/>
          </w:rPr>
        </w:r>
        <w:r w:rsidR="005C380A">
          <w:rPr>
            <w:noProof/>
          </w:rPr>
          <w:fldChar w:fldCharType="separate"/>
        </w:r>
        <w:r w:rsidR="00F74FB3">
          <w:rPr>
            <w:noProof/>
          </w:rPr>
          <w:t>149</w:t>
        </w:r>
        <w:r w:rsidR="005C380A">
          <w:rPr>
            <w:noProof/>
          </w:rPr>
          <w:fldChar w:fldCharType="end"/>
        </w:r>
      </w:hyperlink>
    </w:p>
    <w:p w:rsidR="002E0378" w:rsidRDefault="005C380A">
      <w:pPr>
        <w:jc w:val="both"/>
        <w:rPr>
          <w:rFonts w:ascii="Times New Roman" w:hAnsi="Times New Roman"/>
          <w:sz w:val="24"/>
          <w:szCs w:val="22"/>
          <w:lang w:val="zh-CN"/>
        </w:rPr>
        <w:sectPr w:rsidR="002E0378">
          <w:footerReference w:type="default" r:id="rId9"/>
          <w:pgSz w:w="12240" w:h="15840"/>
          <w:pgMar w:top="1440" w:right="1800" w:bottom="1440" w:left="1800" w:header="720" w:footer="720" w:gutter="0"/>
          <w:pgNumType w:fmt="upperRoman" w:start="1"/>
          <w:cols w:space="720"/>
          <w:docGrid w:type="lines" w:linePitch="312"/>
        </w:sectPr>
      </w:pPr>
      <w:r>
        <w:rPr>
          <w:rFonts w:ascii="Times New Roman" w:hAnsi="Times New Roman" w:hint="eastAsia"/>
          <w:sz w:val="24"/>
          <w:szCs w:val="22"/>
          <w:lang w:val="zh-CN"/>
        </w:rPr>
        <w:fldChar w:fldCharType="end"/>
      </w:r>
    </w:p>
    <w:p w:rsidR="002E0378" w:rsidRDefault="005C380A">
      <w:pPr>
        <w:pStyle w:val="1"/>
        <w:rPr>
          <w:rFonts w:ascii="宋体" w:hAnsi="宋体" w:cs="宋体"/>
          <w:lang w:val="zh-CN"/>
        </w:rPr>
      </w:pPr>
      <w:bookmarkStart w:id="1" w:name="_Toc8595"/>
      <w:bookmarkStart w:id="2" w:name="_Toc27617"/>
      <w:r>
        <w:rPr>
          <w:rFonts w:hint="eastAsia"/>
          <w:lang w:val="zh-CN"/>
        </w:rPr>
        <w:lastRenderedPageBreak/>
        <w:t>1</w:t>
      </w:r>
      <w:r>
        <w:rPr>
          <w:rFonts w:hint="eastAsia"/>
        </w:rPr>
        <w:t xml:space="preserve"> </w:t>
      </w:r>
      <w:r>
        <w:rPr>
          <w:rFonts w:hint="eastAsia"/>
          <w:lang w:val="zh-CN"/>
        </w:rPr>
        <w:t>总论</w:t>
      </w:r>
      <w:bookmarkEnd w:id="1"/>
      <w:bookmarkEnd w:id="2"/>
    </w:p>
    <w:p w:rsidR="002E0378" w:rsidRDefault="005C380A">
      <w:pPr>
        <w:pStyle w:val="2"/>
        <w:rPr>
          <w:rFonts w:ascii="宋体" w:hAnsi="宋体" w:cs="宋体"/>
          <w:szCs w:val="28"/>
        </w:rPr>
      </w:pPr>
      <w:bookmarkStart w:id="3" w:name="_Toc6191"/>
      <w:bookmarkStart w:id="4" w:name="_Toc23632"/>
      <w:r>
        <w:rPr>
          <w:rFonts w:hint="eastAsia"/>
          <w:lang w:val="zh-CN"/>
        </w:rPr>
        <w:t>1.1</w:t>
      </w:r>
      <w:r>
        <w:rPr>
          <w:rFonts w:hint="eastAsia"/>
        </w:rPr>
        <w:t xml:space="preserve"> </w:t>
      </w:r>
      <w:r>
        <w:rPr>
          <w:rFonts w:hint="eastAsia"/>
        </w:rPr>
        <w:t>编制背景</w:t>
      </w:r>
      <w:bookmarkEnd w:id="3"/>
      <w:bookmarkEnd w:id="4"/>
    </w:p>
    <w:p w:rsidR="002E0378" w:rsidRDefault="005C380A">
      <w:pPr>
        <w:pStyle w:val="a4"/>
        <w:ind w:firstLine="480"/>
        <w:rPr>
          <w:rFonts w:ascii="宋体" w:hAnsi="宋体"/>
        </w:rPr>
      </w:pPr>
      <w:r>
        <w:rPr>
          <w:rFonts w:cs="Times New Roman"/>
        </w:rPr>
        <w:t>按照吉林市生态环境局《关于印发吉林市土壤污染重点监管单位名单（</w:t>
      </w:r>
      <w:r>
        <w:rPr>
          <w:rFonts w:cs="Times New Roman"/>
        </w:rPr>
        <w:t>202</w:t>
      </w:r>
      <w:r>
        <w:rPr>
          <w:rFonts w:cs="Times New Roman" w:hint="eastAsia"/>
          <w:lang w:val="en-US"/>
        </w:rPr>
        <w:t>3</w:t>
      </w:r>
      <w:r>
        <w:rPr>
          <w:rFonts w:cs="Times New Roman"/>
        </w:rPr>
        <w:t>调整版）的通知》</w:t>
      </w:r>
      <w:r>
        <w:rPr>
          <w:rFonts w:cs="Times New Roman" w:hint="eastAsia"/>
        </w:rPr>
        <w:t>、《关于印发吉林市土壤污染重点监管单位土壤污染隐患排查“回头看”工作方案的通知》</w:t>
      </w:r>
      <w:r>
        <w:rPr>
          <w:rFonts w:cs="Times New Roman"/>
        </w:rPr>
        <w:t>的要求</w:t>
      </w:r>
      <w:r>
        <w:rPr>
          <w:rFonts w:cs="Times New Roman" w:hint="eastAsia"/>
        </w:rPr>
        <w:t>，</w:t>
      </w:r>
      <w:r>
        <w:rPr>
          <w:rFonts w:hint="eastAsia"/>
        </w:rPr>
        <w:t>为确保各项土壤污染防治任务按时完成，吉林省固体废物处理有限责任公司委托吉林柏源环境检测有限公司按照《重点监管单位土壤污染隐患排查指南（试行）》（生态环境部公告</w:t>
      </w:r>
      <w:r>
        <w:rPr>
          <w:rFonts w:hint="eastAsia"/>
        </w:rPr>
        <w:t>2021</w:t>
      </w:r>
      <w:r>
        <w:rPr>
          <w:rFonts w:hint="eastAsia"/>
        </w:rPr>
        <w:t>年第</w:t>
      </w:r>
      <w:r>
        <w:rPr>
          <w:rFonts w:hint="eastAsia"/>
        </w:rPr>
        <w:t>1</w:t>
      </w:r>
      <w:r>
        <w:rPr>
          <w:rFonts w:hint="eastAsia"/>
        </w:rPr>
        <w:t>号）的要求协助完成土壤污染隐患排查工作，并编制《吉林省固体废物处理有限责任公司土壤及地下水污染隐患排查报告》。</w:t>
      </w:r>
    </w:p>
    <w:p w:rsidR="002E0378" w:rsidRDefault="005C380A">
      <w:pPr>
        <w:pStyle w:val="2"/>
        <w:rPr>
          <w:rFonts w:ascii="宋体" w:hAnsi="宋体" w:cs="宋体"/>
          <w:szCs w:val="28"/>
          <w:lang w:val="zh-CN"/>
        </w:rPr>
      </w:pPr>
      <w:bookmarkStart w:id="5" w:name="_Toc15610"/>
      <w:bookmarkStart w:id="6" w:name="_Toc24104"/>
      <w:r>
        <w:rPr>
          <w:rFonts w:hint="eastAsia"/>
          <w:lang w:val="zh-CN"/>
        </w:rPr>
        <w:t>1.2</w:t>
      </w:r>
      <w:r>
        <w:rPr>
          <w:rFonts w:hint="eastAsia"/>
        </w:rPr>
        <w:t xml:space="preserve"> </w:t>
      </w:r>
      <w:r>
        <w:rPr>
          <w:rFonts w:hint="eastAsia"/>
          <w:lang w:val="zh-CN"/>
        </w:rPr>
        <w:t>排查目的和原则</w:t>
      </w:r>
      <w:bookmarkEnd w:id="5"/>
      <w:bookmarkEnd w:id="6"/>
    </w:p>
    <w:p w:rsidR="002E0378" w:rsidRDefault="005C380A">
      <w:pPr>
        <w:pStyle w:val="3"/>
        <w:rPr>
          <w:rFonts w:cs="宋体"/>
          <w:szCs w:val="28"/>
          <w:lang w:val="zh-CN"/>
        </w:rPr>
      </w:pPr>
      <w:bookmarkStart w:id="7" w:name="_Toc31375"/>
      <w:r>
        <w:rPr>
          <w:lang w:val="zh-CN"/>
        </w:rPr>
        <w:t>1.2.1</w:t>
      </w:r>
      <w:r>
        <w:rPr>
          <w:rFonts w:hint="eastAsia"/>
        </w:rPr>
        <w:t xml:space="preserve"> </w:t>
      </w:r>
      <w:r>
        <w:rPr>
          <w:lang w:val="zh-CN"/>
        </w:rPr>
        <w:t>排查目的</w:t>
      </w:r>
      <w:bookmarkEnd w:id="7"/>
    </w:p>
    <w:p w:rsidR="002E0378" w:rsidRDefault="005C380A">
      <w:pPr>
        <w:pStyle w:val="a4"/>
        <w:ind w:firstLine="480"/>
        <w:rPr>
          <w:rFonts w:ascii="宋体" w:hAnsi="宋体"/>
        </w:rPr>
      </w:pPr>
      <w:r>
        <w:rPr>
          <w:rFonts w:hint="eastAsia"/>
        </w:rPr>
        <w:t>旨在通过对吉林省固体废物处理有限责任公司地块重点区域、重点设施开展土壤及地下水污染隐患排查，对发现的污染隐患及时采取技术、管理措施完成整改，防止有毒有害物质渗漏、流失、扬散。</w:t>
      </w:r>
    </w:p>
    <w:p w:rsidR="002E0378" w:rsidRDefault="005C380A">
      <w:pPr>
        <w:pStyle w:val="3"/>
        <w:rPr>
          <w:rFonts w:cs="宋体"/>
          <w:szCs w:val="28"/>
          <w:lang w:val="zh-CN"/>
        </w:rPr>
      </w:pPr>
      <w:bookmarkStart w:id="8" w:name="_Toc11397"/>
      <w:r>
        <w:rPr>
          <w:lang w:val="zh-CN"/>
        </w:rPr>
        <w:t>1.2.2</w:t>
      </w:r>
      <w:r>
        <w:rPr>
          <w:rFonts w:hint="eastAsia"/>
        </w:rPr>
        <w:t xml:space="preserve"> </w:t>
      </w:r>
      <w:r>
        <w:rPr>
          <w:lang w:val="zh-CN"/>
        </w:rPr>
        <w:t>排查原则</w:t>
      </w:r>
      <w:bookmarkEnd w:id="8"/>
    </w:p>
    <w:p w:rsidR="002E0378" w:rsidRDefault="005C380A">
      <w:pPr>
        <w:pStyle w:val="a4"/>
        <w:ind w:firstLine="480"/>
      </w:pPr>
      <w:r>
        <w:rPr>
          <w:rFonts w:hint="eastAsia"/>
          <w:lang w:val="en-US"/>
        </w:rPr>
        <w:t>1</w:t>
      </w:r>
      <w:r>
        <w:rPr>
          <w:rFonts w:hint="eastAsia"/>
          <w:lang w:val="en-US"/>
        </w:rPr>
        <w:t>、</w:t>
      </w:r>
      <w:r>
        <w:rPr>
          <w:rFonts w:hint="eastAsia"/>
        </w:rPr>
        <w:t>针对性原则：针对企业和场地特征，进行潜在污染物排查工作，为场地管理提供依据。</w:t>
      </w:r>
    </w:p>
    <w:p w:rsidR="002E0378" w:rsidRDefault="005C380A">
      <w:pPr>
        <w:pStyle w:val="a4"/>
        <w:ind w:firstLine="480"/>
      </w:pPr>
      <w:r>
        <w:rPr>
          <w:rFonts w:hint="eastAsia"/>
          <w:lang w:val="en-US"/>
        </w:rPr>
        <w:t>2</w:t>
      </w:r>
      <w:r>
        <w:rPr>
          <w:rFonts w:hint="eastAsia"/>
          <w:lang w:val="en-US"/>
        </w:rPr>
        <w:t>、</w:t>
      </w:r>
      <w:r>
        <w:rPr>
          <w:rFonts w:hint="eastAsia"/>
        </w:rPr>
        <w:t>规范性原则：严格按照工作规程相关要求，规范土壤污染隐患排查过程，保证排查过程的科学性。</w:t>
      </w:r>
    </w:p>
    <w:p w:rsidR="002E0378" w:rsidRDefault="005C380A">
      <w:pPr>
        <w:pStyle w:val="a4"/>
        <w:ind w:firstLine="480"/>
        <w:rPr>
          <w:rFonts w:ascii="宋体" w:hAnsi="宋体"/>
        </w:rPr>
      </w:pPr>
      <w:r>
        <w:rPr>
          <w:rFonts w:hint="eastAsia"/>
          <w:lang w:val="en-US"/>
        </w:rPr>
        <w:t>3</w:t>
      </w:r>
      <w:r>
        <w:rPr>
          <w:rFonts w:hint="eastAsia"/>
          <w:lang w:val="en-US"/>
        </w:rPr>
        <w:t>、</w:t>
      </w:r>
      <w:r>
        <w:rPr>
          <w:rFonts w:hint="eastAsia"/>
        </w:rPr>
        <w:t>可操作性原则：综合考虑排查方法、时间和经费等因素，使排查过程切实可行。</w:t>
      </w:r>
    </w:p>
    <w:p w:rsidR="002E0378" w:rsidRDefault="005C380A">
      <w:pPr>
        <w:pStyle w:val="2"/>
        <w:rPr>
          <w:rFonts w:ascii="宋体" w:hAnsi="宋体" w:cs="宋体"/>
          <w:szCs w:val="28"/>
          <w:lang w:val="zh-CN"/>
        </w:rPr>
      </w:pPr>
      <w:bookmarkStart w:id="9" w:name="_Toc31283"/>
      <w:bookmarkStart w:id="10" w:name="_Toc10562"/>
      <w:r>
        <w:rPr>
          <w:rFonts w:hint="eastAsia"/>
          <w:lang w:val="zh-CN"/>
        </w:rPr>
        <w:t>1.3</w:t>
      </w:r>
      <w:r>
        <w:rPr>
          <w:rFonts w:hint="eastAsia"/>
        </w:rPr>
        <w:t xml:space="preserve"> </w:t>
      </w:r>
      <w:r>
        <w:rPr>
          <w:rFonts w:hint="eastAsia"/>
          <w:lang w:val="zh-CN"/>
        </w:rPr>
        <w:t>排查范围</w:t>
      </w:r>
      <w:bookmarkEnd w:id="9"/>
      <w:bookmarkEnd w:id="10"/>
    </w:p>
    <w:p w:rsidR="002E0378" w:rsidRDefault="005C380A">
      <w:pPr>
        <w:pStyle w:val="a4"/>
        <w:ind w:firstLine="480"/>
        <w:sectPr w:rsidR="002E0378">
          <w:footerReference w:type="default" r:id="rId10"/>
          <w:pgSz w:w="11906" w:h="16838"/>
          <w:pgMar w:top="1440" w:right="1803" w:bottom="1440" w:left="1803" w:header="851" w:footer="992" w:gutter="0"/>
          <w:pgNumType w:start="1"/>
          <w:cols w:space="720"/>
        </w:sectPr>
      </w:pPr>
      <w:r>
        <w:rPr>
          <w:rFonts w:hint="eastAsia"/>
        </w:rPr>
        <w:t>本次土壤及地下水污染隐患排查以整个厂区为单位，重点针对生产经营活动中涉及有毒有害物质的场所、设施设备，</w:t>
      </w:r>
      <w:r>
        <w:rPr>
          <w:rFonts w:hint="eastAsia"/>
          <w:lang w:val="en-US"/>
        </w:rPr>
        <w:t>企业</w:t>
      </w:r>
      <w:r>
        <w:rPr>
          <w:rFonts w:hint="eastAsia"/>
        </w:rPr>
        <w:t>总占地面积约</w:t>
      </w:r>
      <w:r>
        <w:rPr>
          <w:rFonts w:eastAsia="Times New Roman" w:cs="Times New Roman"/>
          <w:snapToGrid w:val="0"/>
          <w:color w:val="000000"/>
          <w:spacing w:val="2"/>
          <w:kern w:val="0"/>
          <w:szCs w:val="24"/>
        </w:rPr>
        <w:t>22.07×10</w:t>
      </w:r>
      <w:r>
        <w:rPr>
          <w:rFonts w:eastAsia="Times New Roman" w:cs="Times New Roman"/>
          <w:snapToGrid w:val="0"/>
          <w:color w:val="000000"/>
          <w:spacing w:val="2"/>
          <w:kern w:val="0"/>
          <w:szCs w:val="24"/>
          <w:vertAlign w:val="superscript"/>
        </w:rPr>
        <w:t>4</w:t>
      </w:r>
      <w:r>
        <w:rPr>
          <w:rFonts w:eastAsia="Times New Roman" w:cs="Times New Roman"/>
          <w:snapToGrid w:val="0"/>
          <w:color w:val="000000"/>
          <w:kern w:val="0"/>
          <w:szCs w:val="24"/>
        </w:rPr>
        <w:t>m</w:t>
      </w:r>
      <w:r>
        <w:rPr>
          <w:rFonts w:cs="Times New Roman"/>
          <w:snapToGrid w:val="0"/>
          <w:color w:val="000000"/>
          <w:kern w:val="0"/>
          <w:szCs w:val="24"/>
          <w:vertAlign w:val="superscript"/>
          <w:lang w:val="en-US"/>
        </w:rPr>
        <w:t>2</w:t>
      </w:r>
      <w:r>
        <w:rPr>
          <w:rFonts w:hint="eastAsia"/>
        </w:rPr>
        <w:t>。</w:t>
      </w:r>
    </w:p>
    <w:p w:rsidR="002E0378" w:rsidRDefault="005C380A">
      <w:pPr>
        <w:pStyle w:val="a4"/>
        <w:spacing w:line="240" w:lineRule="auto"/>
        <w:ind w:firstLineChars="0" w:firstLine="0"/>
      </w:pPr>
      <w:r>
        <w:rPr>
          <w:rFonts w:cs="Times New Roman"/>
          <w:noProof/>
          <w:lang w:val="en-US" w:bidi="ar-SA"/>
        </w:rPr>
        <w:lastRenderedPageBreak/>
        <w:drawing>
          <wp:anchor distT="0" distB="0" distL="114300" distR="114300" simplePos="0" relativeHeight="251670528" behindDoc="0" locked="0" layoutInCell="1" allowOverlap="1">
            <wp:simplePos x="0" y="0"/>
            <wp:positionH relativeFrom="column">
              <wp:posOffset>488950</wp:posOffset>
            </wp:positionH>
            <wp:positionV relativeFrom="paragraph">
              <wp:posOffset>-3810</wp:posOffset>
            </wp:positionV>
            <wp:extent cx="6680835" cy="4835525"/>
            <wp:effectExtent l="0" t="0" r="5715" b="3175"/>
            <wp:wrapNone/>
            <wp:docPr id="1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
                    <pic:cNvPicPr>
                      <a:picLocks noChangeAspect="1"/>
                    </pic:cNvPicPr>
                  </pic:nvPicPr>
                  <pic:blipFill>
                    <a:blip r:embed="rId11"/>
                    <a:stretch>
                      <a:fillRect/>
                    </a:stretch>
                  </pic:blipFill>
                  <pic:spPr>
                    <a:xfrm>
                      <a:off x="0" y="0"/>
                      <a:ext cx="6680835" cy="4835525"/>
                    </a:xfrm>
                    <a:prstGeom prst="rect">
                      <a:avLst/>
                    </a:prstGeom>
                    <a:noFill/>
                    <a:ln>
                      <a:noFill/>
                    </a:ln>
                  </pic:spPr>
                </pic:pic>
              </a:graphicData>
            </a:graphic>
          </wp:anchor>
        </w:drawing>
      </w:r>
    </w:p>
    <w:p w:rsidR="002E0378" w:rsidRDefault="002E0378">
      <w:pPr>
        <w:pStyle w:val="a4"/>
        <w:spacing w:line="240" w:lineRule="auto"/>
        <w:ind w:firstLineChars="0" w:firstLine="0"/>
      </w:pPr>
    </w:p>
    <w:p w:rsidR="002E0378" w:rsidRDefault="002E0378">
      <w:pPr>
        <w:pStyle w:val="a4"/>
        <w:spacing w:line="240" w:lineRule="auto"/>
        <w:ind w:firstLineChars="0" w:firstLine="0"/>
      </w:pPr>
    </w:p>
    <w:p w:rsidR="002E0378" w:rsidRDefault="002E0378">
      <w:pPr>
        <w:pStyle w:val="a4"/>
        <w:spacing w:line="240" w:lineRule="auto"/>
        <w:ind w:firstLineChars="0" w:firstLine="0"/>
      </w:pPr>
    </w:p>
    <w:p w:rsidR="002E0378" w:rsidRDefault="002E0378">
      <w:pPr>
        <w:adjustRightInd w:val="0"/>
        <w:snapToGrid w:val="0"/>
        <w:spacing w:line="360" w:lineRule="auto"/>
        <w:jc w:val="both"/>
        <w:rPr>
          <w:rFonts w:ascii="宋体" w:hAnsi="宋体" w:cs="宋体"/>
        </w:rPr>
      </w:pPr>
    </w:p>
    <w:p w:rsidR="002E0378" w:rsidRDefault="002E0378"/>
    <w:p w:rsidR="002E0378" w:rsidRDefault="002E0378"/>
    <w:p w:rsidR="002E0378" w:rsidRDefault="002E0378"/>
    <w:p w:rsidR="002E0378" w:rsidRDefault="005C380A">
      <w:pPr>
        <w:adjustRightInd w:val="0"/>
        <w:snapToGrid w:val="0"/>
        <w:spacing w:line="360" w:lineRule="auto"/>
        <w:rPr>
          <w:rFonts w:ascii="宋体" w:hAnsi="宋体" w:cs="宋体"/>
          <w:b/>
          <w:bCs/>
          <w:sz w:val="24"/>
          <w:szCs w:val="24"/>
        </w:rPr>
        <w:sectPr w:rsidR="002E0378">
          <w:pgSz w:w="16838" w:h="11906" w:orient="landscape"/>
          <w:pgMar w:top="1701" w:right="1440" w:bottom="1701" w:left="1440" w:header="851" w:footer="992" w:gutter="0"/>
          <w:cols w:space="720"/>
        </w:sectPr>
      </w:pPr>
      <w:r>
        <w:rPr>
          <w:noProof/>
          <w:sz w:val="24"/>
        </w:rPr>
        <mc:AlternateContent>
          <mc:Choice Requires="wps">
            <w:drawing>
              <wp:anchor distT="0" distB="0" distL="114300" distR="114300" simplePos="0" relativeHeight="251672576" behindDoc="0" locked="0" layoutInCell="1" allowOverlap="1">
                <wp:simplePos x="0" y="0"/>
                <wp:positionH relativeFrom="column">
                  <wp:posOffset>5782945</wp:posOffset>
                </wp:positionH>
                <wp:positionV relativeFrom="paragraph">
                  <wp:posOffset>2745105</wp:posOffset>
                </wp:positionV>
                <wp:extent cx="190500" cy="190500"/>
                <wp:effectExtent l="0" t="0" r="0" b="0"/>
                <wp:wrapNone/>
                <wp:docPr id="24" name="矩形 861"/>
                <wp:cNvGraphicFramePr/>
                <a:graphic xmlns:a="http://schemas.openxmlformats.org/drawingml/2006/main">
                  <a:graphicData uri="http://schemas.microsoft.com/office/word/2010/wordprocessingShape">
                    <wps:wsp>
                      <wps:cNvSpPr/>
                      <wps:spPr>
                        <a:xfrm>
                          <a:off x="0" y="0"/>
                          <a:ext cx="190500" cy="190500"/>
                        </a:xfrm>
                        <a:prstGeom prst="rect">
                          <a:avLst/>
                        </a:prstGeom>
                        <a:solidFill>
                          <a:srgbClr val="FFFFFF"/>
                        </a:solidFill>
                        <a:ln w="9525" cap="flat" cmpd="sng">
                          <a:solidFill>
                            <a:srgbClr val="FF0000"/>
                          </a:solidFill>
                          <a:prstDash val="solid"/>
                          <a:miter/>
                          <a:headEnd type="none" w="med" len="med"/>
                          <a:tailEnd type="none" w="med" len="med"/>
                        </a:ln>
                      </wps:spPr>
                      <wps:bodyPr wrap="square" upright="1"/>
                    </wps:wsp>
                  </a:graphicData>
                </a:graphic>
              </wp:anchor>
            </w:drawing>
          </mc:Choice>
          <mc:Fallback xmlns:w15="http://schemas.microsoft.com/office/word/2012/wordml" xmlns:wpsCustomData="http://www.wps.cn/officeDocument/2013/wpsCustomData">
            <w:pict>
              <v:rect id="矩形 861" o:spid="_x0000_s1026" o:spt="1" style="position:absolute;left:0pt;margin-left:455.35pt;margin-top:216.15pt;height:15pt;width:15pt;z-index:251672576;mso-width-relative:page;mso-height-relative:page;" fillcolor="#FFFFFF" filled="t" stroked="t" coordsize="21600,21600" o:gfxdata="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TpNr9gAAAALAQAADwAAAAAAAAABACAAAAAiAAAAZHJz&#10;L2Rvd25yZXYueG1sUEsBAhQAFAAAAAgAh07iQABmTekEAgAALgQAAA4AAAAAAAAAAQAgAAAAJwEA&#10;AGRycy9lMm9Eb2MueG1sUEsFBgAAAAAGAAYAWQEAAJ0FAAAAAA==&#10;">
                <v:fill on="t" focussize="0,0"/>
                <v:stroke color="#FF0000" joinstyle="miter"/>
                <v:imagedata o:title=""/>
                <o:lock v:ext="edit" aspectratio="f"/>
              </v:rect>
            </w:pict>
          </mc:Fallback>
        </mc:AlternateContent>
      </w:r>
      <w:r>
        <w:rPr>
          <w:noProof/>
          <w:sz w:val="24"/>
        </w:rPr>
        <mc:AlternateContent>
          <mc:Choice Requires="wps">
            <w:drawing>
              <wp:anchor distT="0" distB="0" distL="114300" distR="114300" simplePos="0" relativeHeight="251671552" behindDoc="0" locked="0" layoutInCell="1" allowOverlap="1">
                <wp:simplePos x="0" y="0"/>
                <wp:positionH relativeFrom="column">
                  <wp:posOffset>5640070</wp:posOffset>
                </wp:positionH>
                <wp:positionV relativeFrom="paragraph">
                  <wp:posOffset>2397125</wp:posOffset>
                </wp:positionV>
                <wp:extent cx="1438275" cy="914400"/>
                <wp:effectExtent l="0" t="0" r="0" b="0"/>
                <wp:wrapNone/>
                <wp:docPr id="23" name="文本框 860"/>
                <wp:cNvGraphicFramePr/>
                <a:graphic xmlns:a="http://schemas.openxmlformats.org/drawingml/2006/main">
                  <a:graphicData uri="http://schemas.microsoft.com/office/word/2010/wordprocessingShape">
                    <wps:wsp>
                      <wps:cNvSpPr txBox="1"/>
                      <wps:spPr>
                        <a:xfrm>
                          <a:off x="0" y="0"/>
                          <a:ext cx="1438275" cy="9144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E0378" w:rsidRDefault="005C380A">
                            <w:r>
                              <w:rPr>
                                <w:rFonts w:hint="eastAsia"/>
                              </w:rPr>
                              <w:t>图例</w:t>
                            </w:r>
                          </w:p>
                          <w:p w:rsidR="002E0378" w:rsidRDefault="002E0378">
                            <w:pPr>
                              <w:pStyle w:val="a6"/>
                              <w:ind w:firstLineChars="200" w:firstLine="360"/>
                            </w:pPr>
                          </w:p>
                          <w:p w:rsidR="002E0378" w:rsidRDefault="005C380A">
                            <w:pPr>
                              <w:pStyle w:val="a6"/>
                              <w:ind w:firstLineChars="300" w:firstLine="540"/>
                            </w:pPr>
                            <w:r>
                              <w:rPr>
                                <w:rFonts w:hint="eastAsia"/>
                              </w:rPr>
                              <w:t>本次调查范围</w:t>
                            </w:r>
                          </w:p>
                        </w:txbxContent>
                      </wps:txbx>
                      <wps:bodyPr wrap="square" upright="1"/>
                    </wps:wsp>
                  </a:graphicData>
                </a:graphic>
              </wp:anchor>
            </w:drawing>
          </mc:Choice>
          <mc:Fallback xmlns:w15="http://schemas.microsoft.com/office/word/2012/wordml" xmlns:wpsCustomData="http://www.wps.cn/officeDocument/2013/wpsCustomData">
            <w:pict>
              <v:shape id="文本框 860" o:spid="_x0000_s1026" o:spt="202" type="#_x0000_t202" style="position:absolute;left:0pt;margin-left:444.1pt;margin-top:188.75pt;height:72pt;width:113.25pt;z-index:251671552;mso-width-relative:page;mso-height-relative:page;" fillcolor="#FFFFFF" filled="t" stroked="t" coordsize="21600,21600" o:gfxdata="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LicY9oAAAAMAQAA&#10;DwAAAAAAAAABACAAAAAiAAAAZHJzL2Rvd25yZXYueG1sUEsBAhQAFAAAAAgAh07iQIhYE+4XAgAA&#10;RwQAAA4AAAAAAAAAAQAgAAAAKQEAAGRycy9lMm9Eb2MueG1sUEsFBgAAAAAGAAYAWQEAALIFAAAA&#10;AA==&#10;">
                <v:fill on="t" focussize="0,0"/>
                <v:stroke color="#000000" joinstyle="miter"/>
                <v:imagedata o:title=""/>
                <o:lock v:ext="edit" aspectratio="f"/>
                <v:textbox>
                  <w:txbxContent>
                    <w:p>
                      <w:pPr>
                        <w:rPr>
                          <w:rFonts w:hint="eastAsia"/>
                        </w:rPr>
                      </w:pPr>
                      <w:r>
                        <w:rPr>
                          <w:rFonts w:hint="eastAsia"/>
                        </w:rPr>
                        <w:t>图例</w:t>
                      </w:r>
                    </w:p>
                    <w:p>
                      <w:pPr>
                        <w:pStyle w:val="11"/>
                        <w:ind w:firstLine="360" w:firstLineChars="200"/>
                        <w:rPr>
                          <w:rFonts w:hint="eastAsia"/>
                        </w:rPr>
                      </w:pPr>
                    </w:p>
                    <w:p>
                      <w:pPr>
                        <w:pStyle w:val="11"/>
                        <w:ind w:firstLine="540" w:firstLineChars="300"/>
                        <w:rPr>
                          <w:rFonts w:hint="eastAsia"/>
                        </w:rPr>
                      </w:pPr>
                      <w:r>
                        <w:rPr>
                          <w:rFonts w:hint="eastAsia"/>
                        </w:rPr>
                        <w:t>本次调查范围</w:t>
                      </w:r>
                    </w:p>
                  </w:txbxContent>
                </v:textbox>
              </v:shape>
            </w:pict>
          </mc:Fallback>
        </mc:AlternateContent>
      </w:r>
      <w:r>
        <w:rPr>
          <w:noProof/>
          <w:sz w:val="24"/>
        </w:rPr>
        <mc:AlternateContent>
          <mc:Choice Requires="wps">
            <w:drawing>
              <wp:anchor distT="0" distB="0" distL="114300" distR="114300" simplePos="0" relativeHeight="251665408" behindDoc="0" locked="0" layoutInCell="1" allowOverlap="1">
                <wp:simplePos x="0" y="0"/>
                <wp:positionH relativeFrom="column">
                  <wp:posOffset>2550795</wp:posOffset>
                </wp:positionH>
                <wp:positionV relativeFrom="paragraph">
                  <wp:posOffset>3510915</wp:posOffset>
                </wp:positionV>
                <wp:extent cx="1981200" cy="362585"/>
                <wp:effectExtent l="0" t="0" r="0" b="0"/>
                <wp:wrapNone/>
                <wp:docPr id="25" name="文本框 862"/>
                <wp:cNvGraphicFramePr/>
                <a:graphic xmlns:a="http://schemas.openxmlformats.org/drawingml/2006/main">
                  <a:graphicData uri="http://schemas.microsoft.com/office/word/2010/wordprocessingShape">
                    <wps:wsp>
                      <wps:cNvSpPr txBox="1"/>
                      <wps:spPr>
                        <a:xfrm>
                          <a:off x="0" y="0"/>
                          <a:ext cx="1981200" cy="362585"/>
                        </a:xfrm>
                        <a:prstGeom prst="rect">
                          <a:avLst/>
                        </a:prstGeom>
                        <a:solidFill>
                          <a:srgbClr val="FFFFFF"/>
                        </a:solidFill>
                        <a:ln>
                          <a:noFill/>
                        </a:ln>
                      </wps:spPr>
                      <wps:txbx>
                        <w:txbxContent>
                          <w:p w:rsidR="002E0378" w:rsidRDefault="005C380A">
                            <w:r>
                              <w:rPr>
                                <w:rFonts w:ascii="Times New Roman" w:hAnsi="Times New Roman"/>
                                <w:b/>
                                <w:bCs/>
                                <w:sz w:val="24"/>
                                <w:szCs w:val="24"/>
                              </w:rPr>
                              <w:t>图</w:t>
                            </w:r>
                            <w:r>
                              <w:rPr>
                                <w:rFonts w:ascii="Times New Roman" w:hAnsi="Times New Roman"/>
                                <w:b/>
                                <w:bCs/>
                                <w:sz w:val="24"/>
                                <w:szCs w:val="24"/>
                              </w:rPr>
                              <w:t xml:space="preserve">1-1 </w:t>
                            </w:r>
                            <w:r>
                              <w:rPr>
                                <w:rFonts w:ascii="Times New Roman" w:hAnsi="Times New Roman"/>
                                <w:b/>
                                <w:bCs/>
                                <w:sz w:val="24"/>
                                <w:szCs w:val="24"/>
                              </w:rPr>
                              <w:t>本次调查范围图</w:t>
                            </w:r>
                          </w:p>
                        </w:txbxContent>
                      </wps:txbx>
                      <wps:bodyPr wrap="square" upright="1"/>
                    </wps:wsp>
                  </a:graphicData>
                </a:graphic>
              </wp:anchor>
            </w:drawing>
          </mc:Choice>
          <mc:Fallback xmlns:w15="http://schemas.microsoft.com/office/word/2012/wordml" xmlns:wpsCustomData="http://www.wps.cn/officeDocument/2013/wpsCustomData">
            <w:pict>
              <v:shape id="文本框 862" o:spid="_x0000_s1026" o:spt="202" type="#_x0000_t202" style="position:absolute;left:0pt;margin-left:200.85pt;margin-top:276.45pt;height:28.55pt;width:156pt;z-index:251665408;mso-width-relative:page;mso-height-relative:page;" fillcolor="#FFFFFF" filled="t" stroked="f" coordsize="21600,21600" o:gfxdata="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&#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nzb662QAAAAsBAAAPAAAAAAAAAAEAIAAAACIAAABk&#10;cnMvZG93bnJldi54bWxQSwECFAAUAAAACACHTuJAv0/1mswBAACIAwAADgAAAAAAAAABACAAAAAo&#10;AQAAZHJzL2Uyb0RvYy54bWxQSwUGAAAAAAYABgBZAQAAZgUAAAAA&#10;">
                <v:fill on="t" focussize="0,0"/>
                <v:stroke on="f"/>
                <v:imagedata o:title=""/>
                <o:lock v:ext="edit" aspectratio="f"/>
                <v:textbox>
                  <w:txbxContent>
                    <w:p>
                      <w:r>
                        <w:rPr>
                          <w:rFonts w:ascii="Times New Roman" w:hAnsi="Times New Roman"/>
                          <w:b/>
                          <w:bCs/>
                          <w:sz w:val="24"/>
                          <w:szCs w:val="24"/>
                        </w:rPr>
                        <w:t>图1-1 本次调查范围图</w:t>
                      </w:r>
                    </w:p>
                  </w:txbxContent>
                </v:textbox>
              </v:shape>
            </w:pict>
          </mc:Fallback>
        </mc:AlternateContent>
      </w:r>
    </w:p>
    <w:p w:rsidR="002E0378" w:rsidRDefault="005C380A">
      <w:pPr>
        <w:pStyle w:val="2"/>
        <w:rPr>
          <w:rFonts w:ascii="宋体" w:hAnsi="宋体" w:cs="宋体"/>
          <w:szCs w:val="28"/>
        </w:rPr>
      </w:pPr>
      <w:bookmarkStart w:id="11" w:name="_Toc15209"/>
      <w:bookmarkStart w:id="12" w:name="_Toc14294"/>
      <w:r>
        <w:rPr>
          <w:rFonts w:hint="eastAsia"/>
        </w:rPr>
        <w:lastRenderedPageBreak/>
        <w:t xml:space="preserve">1.4 </w:t>
      </w:r>
      <w:r>
        <w:rPr>
          <w:rFonts w:hint="eastAsia"/>
        </w:rPr>
        <w:t>编制依据</w:t>
      </w:r>
      <w:bookmarkEnd w:id="11"/>
      <w:bookmarkEnd w:id="12"/>
    </w:p>
    <w:p w:rsidR="002E0378" w:rsidRDefault="005C380A">
      <w:pPr>
        <w:pStyle w:val="3"/>
        <w:rPr>
          <w:rFonts w:cs="宋体"/>
          <w:szCs w:val="28"/>
          <w:lang w:val="zh-CN"/>
        </w:rPr>
      </w:pPr>
      <w:bookmarkStart w:id="13" w:name="_Toc14907"/>
      <w:r>
        <w:rPr>
          <w:lang w:val="zh-CN"/>
        </w:rPr>
        <w:t>1.</w:t>
      </w:r>
      <w:r>
        <w:t>4.1</w:t>
      </w:r>
      <w:r>
        <w:rPr>
          <w:rFonts w:hint="eastAsia"/>
        </w:rPr>
        <w:t xml:space="preserve"> </w:t>
      </w:r>
      <w:r>
        <w:rPr>
          <w:lang w:val="zh-CN"/>
        </w:rPr>
        <w:t>法律法规</w:t>
      </w:r>
      <w:bookmarkEnd w:id="13"/>
    </w:p>
    <w:p w:rsidR="002E0378" w:rsidRDefault="005C380A">
      <w:pPr>
        <w:pStyle w:val="a4"/>
        <w:ind w:firstLine="480"/>
        <w:rPr>
          <w:lang w:val="en-US"/>
        </w:rPr>
      </w:pPr>
      <w:bookmarkStart w:id="14" w:name="_Toc29399"/>
      <w:r>
        <w:rPr>
          <w:rFonts w:hint="eastAsia"/>
          <w:lang w:val="en-US"/>
        </w:rPr>
        <w:t>1</w:t>
      </w:r>
      <w:r>
        <w:rPr>
          <w:rFonts w:hint="eastAsia"/>
          <w:lang w:val="en-US"/>
        </w:rPr>
        <w:t>、《中华人民共和国环境保护法》（</w:t>
      </w:r>
      <w:r>
        <w:rPr>
          <w:rFonts w:hint="eastAsia"/>
          <w:lang w:val="en-US"/>
        </w:rPr>
        <w:t>2015</w:t>
      </w:r>
      <w:r>
        <w:rPr>
          <w:rFonts w:hint="eastAsia"/>
          <w:lang w:val="en-US"/>
        </w:rPr>
        <w:t>年</w:t>
      </w:r>
      <w:r>
        <w:rPr>
          <w:rFonts w:hint="eastAsia"/>
          <w:lang w:val="en-US"/>
        </w:rPr>
        <w:t>1</w:t>
      </w:r>
      <w:r>
        <w:rPr>
          <w:rFonts w:hint="eastAsia"/>
          <w:lang w:val="en-US"/>
        </w:rPr>
        <w:t>月</w:t>
      </w:r>
      <w:r>
        <w:rPr>
          <w:rFonts w:hint="eastAsia"/>
          <w:lang w:val="en-US"/>
        </w:rPr>
        <w:t>1</w:t>
      </w:r>
      <w:r>
        <w:rPr>
          <w:rFonts w:hint="eastAsia"/>
          <w:lang w:val="en-US"/>
        </w:rPr>
        <w:t>日施行）；</w:t>
      </w:r>
    </w:p>
    <w:p w:rsidR="002E0378" w:rsidRDefault="005C380A">
      <w:pPr>
        <w:pStyle w:val="a4"/>
        <w:ind w:firstLine="480"/>
        <w:rPr>
          <w:lang w:val="en-US"/>
        </w:rPr>
      </w:pPr>
      <w:r>
        <w:rPr>
          <w:rFonts w:hint="eastAsia"/>
          <w:lang w:val="en-US"/>
        </w:rPr>
        <w:t>2</w:t>
      </w:r>
      <w:r>
        <w:rPr>
          <w:rFonts w:hint="eastAsia"/>
          <w:lang w:val="en-US"/>
        </w:rPr>
        <w:t>、《中华人民共和国水污染防治法》（</w:t>
      </w:r>
      <w:r>
        <w:rPr>
          <w:rFonts w:hint="eastAsia"/>
          <w:lang w:val="en-US"/>
        </w:rPr>
        <w:t>2018</w:t>
      </w:r>
      <w:r>
        <w:rPr>
          <w:rFonts w:hint="eastAsia"/>
          <w:lang w:val="en-US"/>
        </w:rPr>
        <w:t>年</w:t>
      </w:r>
      <w:r>
        <w:rPr>
          <w:rFonts w:hint="eastAsia"/>
          <w:lang w:val="en-US"/>
        </w:rPr>
        <w:t>1</w:t>
      </w:r>
      <w:r>
        <w:rPr>
          <w:rFonts w:hint="eastAsia"/>
          <w:lang w:val="en-US"/>
        </w:rPr>
        <w:t>月</w:t>
      </w:r>
      <w:r>
        <w:rPr>
          <w:rFonts w:hint="eastAsia"/>
          <w:lang w:val="en-US"/>
        </w:rPr>
        <w:t>1</w:t>
      </w:r>
      <w:r>
        <w:rPr>
          <w:rFonts w:hint="eastAsia"/>
          <w:lang w:val="en-US"/>
        </w:rPr>
        <w:t>日施行）；</w:t>
      </w:r>
    </w:p>
    <w:p w:rsidR="002E0378" w:rsidRDefault="005C380A">
      <w:pPr>
        <w:pStyle w:val="a4"/>
        <w:ind w:firstLine="480"/>
        <w:rPr>
          <w:lang w:val="en-US"/>
        </w:rPr>
      </w:pPr>
      <w:r>
        <w:rPr>
          <w:rFonts w:hint="eastAsia"/>
          <w:lang w:val="en-US"/>
        </w:rPr>
        <w:t>3</w:t>
      </w:r>
      <w:r>
        <w:rPr>
          <w:rFonts w:hint="eastAsia"/>
          <w:lang w:val="en-US"/>
        </w:rPr>
        <w:t>、《中华人民共和国固体废物污染环境防治法）（</w:t>
      </w:r>
      <w:r>
        <w:rPr>
          <w:rFonts w:hint="eastAsia"/>
          <w:lang w:val="en-US"/>
        </w:rPr>
        <w:t>2020</w:t>
      </w:r>
      <w:r>
        <w:rPr>
          <w:rFonts w:hint="eastAsia"/>
          <w:lang w:val="en-US"/>
        </w:rPr>
        <w:t>年</w:t>
      </w:r>
      <w:r>
        <w:rPr>
          <w:rFonts w:hint="eastAsia"/>
          <w:lang w:val="en-US"/>
        </w:rPr>
        <w:t>4</w:t>
      </w:r>
      <w:r>
        <w:rPr>
          <w:rFonts w:hint="eastAsia"/>
          <w:lang w:val="en-US"/>
        </w:rPr>
        <w:t>月</w:t>
      </w:r>
      <w:r>
        <w:rPr>
          <w:rFonts w:hint="eastAsia"/>
          <w:lang w:val="en-US"/>
        </w:rPr>
        <w:t>29</w:t>
      </w:r>
      <w:r>
        <w:rPr>
          <w:rFonts w:hint="eastAsia"/>
          <w:lang w:val="en-US"/>
        </w:rPr>
        <w:t>日修订）；</w:t>
      </w:r>
    </w:p>
    <w:p w:rsidR="002E0378" w:rsidRDefault="005C380A">
      <w:pPr>
        <w:pStyle w:val="a4"/>
        <w:ind w:firstLine="480"/>
        <w:rPr>
          <w:lang w:val="en-US"/>
        </w:rPr>
      </w:pPr>
      <w:r>
        <w:rPr>
          <w:rFonts w:hint="eastAsia"/>
          <w:lang w:val="en-US"/>
        </w:rPr>
        <w:t>4</w:t>
      </w:r>
      <w:r>
        <w:rPr>
          <w:rFonts w:hint="eastAsia"/>
          <w:lang w:val="en-US"/>
        </w:rPr>
        <w:t>、《建设项目环境保护管理条例》（</w:t>
      </w:r>
      <w:r>
        <w:rPr>
          <w:rFonts w:hint="eastAsia"/>
          <w:lang w:val="en-US"/>
        </w:rPr>
        <w:t>2017</w:t>
      </w:r>
      <w:r>
        <w:rPr>
          <w:rFonts w:hint="eastAsia"/>
          <w:lang w:val="en-US"/>
        </w:rPr>
        <w:t>年</w:t>
      </w:r>
      <w:r>
        <w:rPr>
          <w:rFonts w:hint="eastAsia"/>
          <w:lang w:val="en-US"/>
        </w:rPr>
        <w:t>7</w:t>
      </w:r>
      <w:r>
        <w:rPr>
          <w:rFonts w:hint="eastAsia"/>
          <w:lang w:val="en-US"/>
        </w:rPr>
        <w:t>月</w:t>
      </w:r>
      <w:r>
        <w:rPr>
          <w:rFonts w:hint="eastAsia"/>
          <w:lang w:val="en-US"/>
        </w:rPr>
        <w:t>16</w:t>
      </w:r>
      <w:r>
        <w:rPr>
          <w:rFonts w:hint="eastAsia"/>
          <w:lang w:val="en-US"/>
        </w:rPr>
        <w:t>日修订）；</w:t>
      </w:r>
    </w:p>
    <w:p w:rsidR="002E0378" w:rsidRDefault="005C380A">
      <w:pPr>
        <w:pStyle w:val="a4"/>
        <w:ind w:firstLine="480"/>
        <w:rPr>
          <w:lang w:val="en-US"/>
        </w:rPr>
      </w:pPr>
      <w:r>
        <w:rPr>
          <w:rFonts w:hint="eastAsia"/>
          <w:lang w:val="en-US"/>
        </w:rPr>
        <w:t>5</w:t>
      </w:r>
      <w:r>
        <w:rPr>
          <w:rFonts w:hint="eastAsia"/>
          <w:lang w:val="en-US"/>
        </w:rPr>
        <w:t>、《危险化学品安全管理条例》（</w:t>
      </w:r>
      <w:r>
        <w:rPr>
          <w:rFonts w:hint="eastAsia"/>
          <w:lang w:val="en-US"/>
        </w:rPr>
        <w:t>2013</w:t>
      </w:r>
      <w:r>
        <w:rPr>
          <w:rFonts w:hint="eastAsia"/>
          <w:lang w:val="en-US"/>
        </w:rPr>
        <w:t>年</w:t>
      </w:r>
      <w:r>
        <w:rPr>
          <w:rFonts w:hint="eastAsia"/>
          <w:lang w:val="en-US"/>
        </w:rPr>
        <w:t>12</w:t>
      </w:r>
      <w:r>
        <w:rPr>
          <w:rFonts w:hint="eastAsia"/>
          <w:lang w:val="en-US"/>
        </w:rPr>
        <w:t>月</w:t>
      </w:r>
      <w:r>
        <w:rPr>
          <w:rFonts w:hint="eastAsia"/>
          <w:lang w:val="en-US"/>
        </w:rPr>
        <w:t>7</w:t>
      </w:r>
      <w:r>
        <w:rPr>
          <w:rFonts w:hint="eastAsia"/>
          <w:lang w:val="en-US"/>
        </w:rPr>
        <w:t>日修订）；</w:t>
      </w:r>
    </w:p>
    <w:p w:rsidR="002E0378" w:rsidRDefault="005C380A">
      <w:pPr>
        <w:pStyle w:val="a4"/>
        <w:ind w:firstLine="480"/>
        <w:rPr>
          <w:lang w:val="en-US"/>
        </w:rPr>
      </w:pPr>
      <w:r>
        <w:rPr>
          <w:rFonts w:hint="eastAsia"/>
          <w:lang w:val="en-US"/>
        </w:rPr>
        <w:t>6</w:t>
      </w:r>
      <w:r>
        <w:rPr>
          <w:rFonts w:hint="eastAsia"/>
          <w:lang w:val="en-US"/>
        </w:rPr>
        <w:t>、《废弃危险化学品污染环境防治办法》（</w:t>
      </w:r>
      <w:r>
        <w:rPr>
          <w:rFonts w:hint="eastAsia"/>
          <w:lang w:val="en-US"/>
        </w:rPr>
        <w:t>2005</w:t>
      </w:r>
      <w:r>
        <w:rPr>
          <w:rFonts w:hint="eastAsia"/>
          <w:lang w:val="en-US"/>
        </w:rPr>
        <w:t>年</w:t>
      </w:r>
      <w:r>
        <w:rPr>
          <w:rFonts w:hint="eastAsia"/>
          <w:lang w:val="en-US"/>
        </w:rPr>
        <w:t>8</w:t>
      </w:r>
      <w:r>
        <w:rPr>
          <w:rFonts w:hint="eastAsia"/>
          <w:lang w:val="en-US"/>
        </w:rPr>
        <w:t>月</w:t>
      </w:r>
      <w:r>
        <w:rPr>
          <w:rFonts w:hint="eastAsia"/>
          <w:lang w:val="en-US"/>
        </w:rPr>
        <w:t>30</w:t>
      </w:r>
      <w:r>
        <w:rPr>
          <w:rFonts w:hint="eastAsia"/>
          <w:lang w:val="en-US"/>
        </w:rPr>
        <w:t>日颁布）；</w:t>
      </w:r>
    </w:p>
    <w:p w:rsidR="002E0378" w:rsidRDefault="005C380A">
      <w:pPr>
        <w:pStyle w:val="a4"/>
        <w:ind w:firstLine="480"/>
        <w:rPr>
          <w:lang w:val="en-US"/>
        </w:rPr>
      </w:pPr>
      <w:r>
        <w:rPr>
          <w:rFonts w:hint="eastAsia"/>
          <w:lang w:val="en-US"/>
        </w:rPr>
        <w:t>7</w:t>
      </w:r>
      <w:r>
        <w:rPr>
          <w:rFonts w:hint="eastAsia"/>
          <w:lang w:val="en-US"/>
        </w:rPr>
        <w:t>、《危险化学品安全管理办法》（</w:t>
      </w:r>
      <w:r>
        <w:rPr>
          <w:rFonts w:hint="eastAsia"/>
          <w:lang w:val="en-US"/>
        </w:rPr>
        <w:t>2013</w:t>
      </w:r>
      <w:r>
        <w:rPr>
          <w:rFonts w:hint="eastAsia"/>
          <w:lang w:val="en-US"/>
        </w:rPr>
        <w:t>年</w:t>
      </w:r>
      <w:r>
        <w:rPr>
          <w:rFonts w:hint="eastAsia"/>
          <w:lang w:val="en-US"/>
        </w:rPr>
        <w:t>12</w:t>
      </w:r>
      <w:r>
        <w:rPr>
          <w:rFonts w:hint="eastAsia"/>
          <w:lang w:val="en-US"/>
        </w:rPr>
        <w:t>月</w:t>
      </w:r>
      <w:r>
        <w:rPr>
          <w:rFonts w:hint="eastAsia"/>
          <w:lang w:val="en-US"/>
        </w:rPr>
        <w:t>7</w:t>
      </w:r>
      <w:r>
        <w:rPr>
          <w:rFonts w:hint="eastAsia"/>
          <w:lang w:val="en-US"/>
        </w:rPr>
        <w:t>日修订）；</w:t>
      </w:r>
    </w:p>
    <w:p w:rsidR="002E0378" w:rsidRDefault="005C380A">
      <w:pPr>
        <w:pStyle w:val="a4"/>
        <w:ind w:firstLine="480"/>
        <w:rPr>
          <w:lang w:val="en-US"/>
        </w:rPr>
      </w:pPr>
      <w:r>
        <w:rPr>
          <w:rFonts w:hint="eastAsia"/>
          <w:lang w:val="en-US"/>
        </w:rPr>
        <w:t>8</w:t>
      </w:r>
      <w:r>
        <w:rPr>
          <w:rFonts w:hint="eastAsia"/>
          <w:lang w:val="en-US"/>
        </w:rPr>
        <w:t>、《国家危险废物名录》（</w:t>
      </w:r>
      <w:r>
        <w:rPr>
          <w:rFonts w:hint="eastAsia"/>
          <w:lang w:val="en-US"/>
        </w:rPr>
        <w:t>2021</w:t>
      </w:r>
      <w:r>
        <w:rPr>
          <w:rFonts w:hint="eastAsia"/>
          <w:lang w:val="en-US"/>
        </w:rPr>
        <w:t>年版）；</w:t>
      </w:r>
    </w:p>
    <w:p w:rsidR="002E0378" w:rsidRDefault="005C380A">
      <w:pPr>
        <w:pStyle w:val="a4"/>
        <w:ind w:firstLine="480"/>
        <w:rPr>
          <w:lang w:val="en-US"/>
        </w:rPr>
      </w:pPr>
      <w:r>
        <w:rPr>
          <w:rFonts w:hint="eastAsia"/>
          <w:lang w:val="en-US"/>
        </w:rPr>
        <w:t>9</w:t>
      </w:r>
      <w:r>
        <w:rPr>
          <w:rFonts w:hint="eastAsia"/>
          <w:lang w:val="en-US"/>
        </w:rPr>
        <w:t>、《国务院关于印发土壤污染防治行动计划的通知》（</w:t>
      </w:r>
      <w:r>
        <w:rPr>
          <w:rFonts w:hint="eastAsia"/>
          <w:lang w:val="en-US"/>
        </w:rPr>
        <w:t>2016</w:t>
      </w:r>
      <w:r>
        <w:rPr>
          <w:rFonts w:hint="eastAsia"/>
          <w:lang w:val="en-US"/>
        </w:rPr>
        <w:t>年</w:t>
      </w:r>
      <w:r>
        <w:rPr>
          <w:rFonts w:hint="eastAsia"/>
          <w:lang w:val="en-US"/>
        </w:rPr>
        <w:t>5</w:t>
      </w:r>
      <w:r>
        <w:rPr>
          <w:rFonts w:hint="eastAsia"/>
          <w:lang w:val="en-US"/>
        </w:rPr>
        <w:t>月</w:t>
      </w:r>
      <w:r>
        <w:rPr>
          <w:rFonts w:hint="eastAsia"/>
          <w:lang w:val="en-US"/>
        </w:rPr>
        <w:t>28</w:t>
      </w:r>
      <w:r>
        <w:rPr>
          <w:rFonts w:hint="eastAsia"/>
          <w:lang w:val="en-US"/>
        </w:rPr>
        <w:t>日施行）；</w:t>
      </w:r>
    </w:p>
    <w:p w:rsidR="002E0378" w:rsidRDefault="005C380A">
      <w:pPr>
        <w:pStyle w:val="a4"/>
        <w:ind w:firstLine="480"/>
        <w:rPr>
          <w:lang w:val="en-US"/>
        </w:rPr>
      </w:pPr>
      <w:r>
        <w:rPr>
          <w:rFonts w:hint="eastAsia"/>
          <w:lang w:val="en-US"/>
        </w:rPr>
        <w:t>10</w:t>
      </w:r>
      <w:r>
        <w:rPr>
          <w:rFonts w:hint="eastAsia"/>
          <w:lang w:val="en-US"/>
        </w:rPr>
        <w:t>、《国务院关于印发水污染防治行动计划的通知》（</w:t>
      </w:r>
      <w:r>
        <w:rPr>
          <w:rFonts w:hint="eastAsia"/>
          <w:lang w:val="en-US"/>
        </w:rPr>
        <w:t>2015</w:t>
      </w:r>
      <w:r>
        <w:rPr>
          <w:rFonts w:hint="eastAsia"/>
          <w:lang w:val="en-US"/>
        </w:rPr>
        <w:t>年</w:t>
      </w:r>
      <w:r>
        <w:rPr>
          <w:rFonts w:hint="eastAsia"/>
          <w:lang w:val="en-US"/>
        </w:rPr>
        <w:t>4</w:t>
      </w:r>
      <w:r>
        <w:rPr>
          <w:rFonts w:hint="eastAsia"/>
          <w:lang w:val="en-US"/>
        </w:rPr>
        <w:t>月</w:t>
      </w:r>
      <w:r>
        <w:rPr>
          <w:rFonts w:hint="eastAsia"/>
          <w:lang w:val="en-US"/>
        </w:rPr>
        <w:t>16</w:t>
      </w:r>
      <w:r>
        <w:rPr>
          <w:rFonts w:hint="eastAsia"/>
          <w:lang w:val="en-US"/>
        </w:rPr>
        <w:t>日施行）；</w:t>
      </w:r>
    </w:p>
    <w:p w:rsidR="002E0378" w:rsidRDefault="005C380A">
      <w:pPr>
        <w:pStyle w:val="a4"/>
        <w:ind w:firstLine="480"/>
        <w:rPr>
          <w:lang w:val="en-US"/>
        </w:rPr>
      </w:pPr>
      <w:r>
        <w:rPr>
          <w:rFonts w:hint="eastAsia"/>
          <w:lang w:val="en-US"/>
        </w:rPr>
        <w:t>11</w:t>
      </w:r>
      <w:r>
        <w:rPr>
          <w:rFonts w:hint="eastAsia"/>
          <w:lang w:val="en-US"/>
        </w:rPr>
        <w:t>、《国务院关于印发大气污染防治行动计划的通知》（</w:t>
      </w:r>
      <w:r>
        <w:rPr>
          <w:rFonts w:hint="eastAsia"/>
          <w:lang w:val="en-US"/>
        </w:rPr>
        <w:t>2013</w:t>
      </w:r>
      <w:r>
        <w:rPr>
          <w:rFonts w:hint="eastAsia"/>
          <w:lang w:val="en-US"/>
        </w:rPr>
        <w:t>年</w:t>
      </w:r>
      <w:r>
        <w:rPr>
          <w:rFonts w:hint="eastAsia"/>
          <w:lang w:val="en-US"/>
        </w:rPr>
        <w:t>9</w:t>
      </w:r>
      <w:r>
        <w:rPr>
          <w:rFonts w:hint="eastAsia"/>
          <w:lang w:val="en-US"/>
        </w:rPr>
        <w:t>月</w:t>
      </w:r>
      <w:r>
        <w:rPr>
          <w:rFonts w:hint="eastAsia"/>
          <w:lang w:val="en-US"/>
        </w:rPr>
        <w:t>10</w:t>
      </w:r>
      <w:r>
        <w:rPr>
          <w:rFonts w:hint="eastAsia"/>
          <w:lang w:val="en-US"/>
        </w:rPr>
        <w:t>日施行）；</w:t>
      </w:r>
    </w:p>
    <w:p w:rsidR="002E0378" w:rsidRDefault="005C380A">
      <w:pPr>
        <w:pStyle w:val="a4"/>
        <w:ind w:firstLine="480"/>
        <w:rPr>
          <w:lang w:val="en-US"/>
        </w:rPr>
      </w:pPr>
      <w:r>
        <w:rPr>
          <w:rFonts w:hint="eastAsia"/>
          <w:lang w:val="en-US"/>
        </w:rPr>
        <w:t>12</w:t>
      </w:r>
      <w:r>
        <w:rPr>
          <w:rFonts w:hint="eastAsia"/>
          <w:lang w:val="en-US"/>
        </w:rPr>
        <w:t>、《国务院办公厅关于印发控制污染物排放许可制实施方案的通知》（</w:t>
      </w:r>
      <w:r>
        <w:rPr>
          <w:rFonts w:hint="eastAsia"/>
          <w:lang w:val="en-US"/>
        </w:rPr>
        <w:t>2016</w:t>
      </w:r>
      <w:r>
        <w:rPr>
          <w:rFonts w:hint="eastAsia"/>
          <w:lang w:val="en-US"/>
        </w:rPr>
        <w:t>年</w:t>
      </w:r>
      <w:r>
        <w:rPr>
          <w:rFonts w:hint="eastAsia"/>
          <w:lang w:val="en-US"/>
        </w:rPr>
        <w:t>11</w:t>
      </w:r>
      <w:r>
        <w:rPr>
          <w:rFonts w:hint="eastAsia"/>
          <w:lang w:val="en-US"/>
        </w:rPr>
        <w:t>月</w:t>
      </w:r>
      <w:r>
        <w:rPr>
          <w:rFonts w:hint="eastAsia"/>
          <w:lang w:val="en-US"/>
        </w:rPr>
        <w:t>10</w:t>
      </w:r>
      <w:r>
        <w:rPr>
          <w:rFonts w:hint="eastAsia"/>
          <w:lang w:val="en-US"/>
        </w:rPr>
        <w:t>日施行）。</w:t>
      </w:r>
    </w:p>
    <w:p w:rsidR="002E0378" w:rsidRDefault="005C380A">
      <w:pPr>
        <w:pStyle w:val="3"/>
        <w:rPr>
          <w:rFonts w:cs="宋体"/>
          <w:szCs w:val="28"/>
          <w:lang w:val="zh-CN"/>
        </w:rPr>
      </w:pPr>
      <w:r>
        <w:t xml:space="preserve">1.4.2 </w:t>
      </w:r>
      <w:r>
        <w:rPr>
          <w:lang w:val="zh-CN"/>
        </w:rPr>
        <w:t>标准规范</w:t>
      </w:r>
      <w:bookmarkEnd w:id="14"/>
    </w:p>
    <w:p w:rsidR="002E0378" w:rsidRDefault="005C380A">
      <w:pPr>
        <w:pStyle w:val="a4"/>
        <w:ind w:firstLine="480"/>
      </w:pPr>
      <w:r>
        <w:rPr>
          <w:rFonts w:hint="eastAsia"/>
          <w:lang w:val="en-US"/>
        </w:rPr>
        <w:t>1</w:t>
      </w:r>
      <w:r>
        <w:rPr>
          <w:rFonts w:hint="eastAsia"/>
          <w:lang w:val="en-US"/>
        </w:rPr>
        <w:t>、</w:t>
      </w:r>
      <w:r>
        <w:rPr>
          <w:rFonts w:hint="eastAsia"/>
        </w:rPr>
        <w:t>《企业突发环境事件隐患排查和治理工作指南（试行）》（</w:t>
      </w:r>
      <w:r>
        <w:rPr>
          <w:rFonts w:hint="eastAsia"/>
        </w:rPr>
        <w:t>2016</w:t>
      </w:r>
      <w:r>
        <w:rPr>
          <w:rFonts w:hint="eastAsia"/>
        </w:rPr>
        <w:t>年</w:t>
      </w:r>
      <w:r>
        <w:rPr>
          <w:rFonts w:hint="eastAsia"/>
        </w:rPr>
        <w:t>12</w:t>
      </w:r>
      <w:r>
        <w:rPr>
          <w:rFonts w:hint="eastAsia"/>
        </w:rPr>
        <w:t>月）；</w:t>
      </w:r>
    </w:p>
    <w:p w:rsidR="002E0378" w:rsidRDefault="005C380A">
      <w:pPr>
        <w:pStyle w:val="a4"/>
        <w:ind w:firstLine="480"/>
      </w:pPr>
      <w:r>
        <w:rPr>
          <w:rFonts w:hint="eastAsia"/>
          <w:lang w:val="en-US"/>
        </w:rPr>
        <w:t>2</w:t>
      </w:r>
      <w:r>
        <w:rPr>
          <w:rFonts w:hint="eastAsia"/>
          <w:lang w:val="en-US"/>
        </w:rPr>
        <w:t>、</w:t>
      </w:r>
      <w:r>
        <w:rPr>
          <w:rFonts w:hint="eastAsia"/>
        </w:rPr>
        <w:t>《危险化学品重大危险</w:t>
      </w:r>
      <w:r>
        <w:rPr>
          <w:rFonts w:hint="eastAsia"/>
          <w:lang w:val="en-US"/>
        </w:rPr>
        <w:t>源辨识</w:t>
      </w:r>
      <w:r>
        <w:rPr>
          <w:rFonts w:hint="eastAsia"/>
        </w:rPr>
        <w:t>》（</w:t>
      </w:r>
      <w:r>
        <w:rPr>
          <w:rFonts w:hint="eastAsia"/>
        </w:rPr>
        <w:t>GB18218-201</w:t>
      </w:r>
      <w:r>
        <w:rPr>
          <w:rFonts w:hint="eastAsia"/>
          <w:lang w:val="en-US"/>
        </w:rPr>
        <w:t>8</w:t>
      </w:r>
      <w:r>
        <w:rPr>
          <w:rFonts w:hint="eastAsia"/>
        </w:rPr>
        <w:t>）；</w:t>
      </w:r>
    </w:p>
    <w:p w:rsidR="002E0378" w:rsidRDefault="005C380A">
      <w:pPr>
        <w:pStyle w:val="a4"/>
        <w:ind w:firstLine="480"/>
      </w:pPr>
      <w:r>
        <w:rPr>
          <w:rFonts w:hint="eastAsia"/>
          <w:lang w:val="en-US"/>
        </w:rPr>
        <w:t>3</w:t>
      </w:r>
      <w:r>
        <w:rPr>
          <w:rFonts w:hint="eastAsia"/>
          <w:lang w:val="en-US"/>
        </w:rPr>
        <w:t>、</w:t>
      </w:r>
      <w:r>
        <w:rPr>
          <w:rFonts w:hint="eastAsia"/>
        </w:rPr>
        <w:t>《重点监管危险化学品化工工艺目录》（</w:t>
      </w:r>
      <w:r>
        <w:rPr>
          <w:rFonts w:hint="eastAsia"/>
        </w:rPr>
        <w:t>2013</w:t>
      </w:r>
      <w:r>
        <w:rPr>
          <w:rFonts w:hint="eastAsia"/>
        </w:rPr>
        <w:t>年完整版）；</w:t>
      </w:r>
    </w:p>
    <w:p w:rsidR="002E0378" w:rsidRDefault="005C380A">
      <w:pPr>
        <w:pStyle w:val="a4"/>
        <w:ind w:firstLine="480"/>
      </w:pPr>
      <w:r>
        <w:rPr>
          <w:rFonts w:hint="eastAsia"/>
          <w:lang w:val="en-US"/>
        </w:rPr>
        <w:t>4</w:t>
      </w:r>
      <w:r>
        <w:rPr>
          <w:rFonts w:hint="eastAsia"/>
        </w:rPr>
        <w:t>、《建设用地土壤污染状况调查技术导则》（</w:t>
      </w:r>
      <w:r>
        <w:rPr>
          <w:rFonts w:hint="eastAsia"/>
        </w:rPr>
        <w:t>HJ25.1-2019</w:t>
      </w:r>
      <w:r>
        <w:rPr>
          <w:rFonts w:hint="eastAsia"/>
        </w:rPr>
        <w:t>）；</w:t>
      </w:r>
    </w:p>
    <w:p w:rsidR="002E0378" w:rsidRDefault="005C380A">
      <w:pPr>
        <w:pStyle w:val="a4"/>
        <w:ind w:firstLine="480"/>
      </w:pPr>
      <w:r>
        <w:rPr>
          <w:rFonts w:hint="eastAsia"/>
          <w:lang w:val="en-US"/>
        </w:rPr>
        <w:lastRenderedPageBreak/>
        <w:t>5</w:t>
      </w:r>
      <w:r>
        <w:rPr>
          <w:rFonts w:hint="eastAsia"/>
        </w:rPr>
        <w:t>、《建设用地土壤污染风险管控和修复监测技术导则》（</w:t>
      </w:r>
      <w:r>
        <w:rPr>
          <w:rFonts w:hint="eastAsia"/>
        </w:rPr>
        <w:t>HJ25.2-2019</w:t>
      </w:r>
      <w:r>
        <w:rPr>
          <w:rFonts w:hint="eastAsia"/>
        </w:rPr>
        <w:t>）；</w:t>
      </w:r>
    </w:p>
    <w:p w:rsidR="002E0378" w:rsidRDefault="005C380A">
      <w:pPr>
        <w:pStyle w:val="a4"/>
        <w:ind w:firstLine="480"/>
      </w:pPr>
      <w:r>
        <w:rPr>
          <w:rFonts w:hint="eastAsia"/>
          <w:lang w:val="en-US"/>
        </w:rPr>
        <w:t>6</w:t>
      </w:r>
      <w:r>
        <w:rPr>
          <w:rFonts w:hint="eastAsia"/>
          <w:lang w:val="en-US"/>
        </w:rPr>
        <w:t>、</w:t>
      </w:r>
      <w:r>
        <w:rPr>
          <w:rFonts w:hint="eastAsia"/>
        </w:rPr>
        <w:t>《地下水环境监测技术规范》（</w:t>
      </w:r>
      <w:r>
        <w:rPr>
          <w:rFonts w:hint="eastAsia"/>
        </w:rPr>
        <w:t>HJ164-2020</w:t>
      </w:r>
      <w:r>
        <w:rPr>
          <w:rFonts w:hint="eastAsia"/>
        </w:rPr>
        <w:t>）；</w:t>
      </w:r>
    </w:p>
    <w:p w:rsidR="002E0378" w:rsidRDefault="005C380A">
      <w:pPr>
        <w:pStyle w:val="a4"/>
        <w:ind w:firstLine="480"/>
      </w:pPr>
      <w:r>
        <w:rPr>
          <w:rFonts w:hint="eastAsia"/>
          <w:lang w:val="en-US"/>
        </w:rPr>
        <w:t>7</w:t>
      </w:r>
      <w:r>
        <w:rPr>
          <w:rFonts w:hint="eastAsia"/>
          <w:lang w:val="en-US"/>
        </w:rPr>
        <w:t>、</w:t>
      </w:r>
      <w:r>
        <w:rPr>
          <w:rFonts w:hint="eastAsia"/>
        </w:rPr>
        <w:t>《土壤环境监测技术规范》（</w:t>
      </w:r>
      <w:r>
        <w:rPr>
          <w:rFonts w:hint="eastAsia"/>
        </w:rPr>
        <w:t>HJ/T 166-2004</w:t>
      </w:r>
      <w:r>
        <w:rPr>
          <w:rFonts w:hint="eastAsia"/>
        </w:rPr>
        <w:t>）；</w:t>
      </w:r>
    </w:p>
    <w:p w:rsidR="002E0378" w:rsidRDefault="005C380A">
      <w:pPr>
        <w:pStyle w:val="a4"/>
        <w:ind w:firstLine="480"/>
      </w:pPr>
      <w:r>
        <w:rPr>
          <w:rFonts w:hint="eastAsia"/>
          <w:lang w:val="en-US"/>
        </w:rPr>
        <w:t>8</w:t>
      </w:r>
      <w:r>
        <w:rPr>
          <w:rFonts w:hint="eastAsia"/>
          <w:lang w:val="en-US"/>
        </w:rPr>
        <w:t>、</w:t>
      </w:r>
      <w:r>
        <w:rPr>
          <w:rFonts w:hint="eastAsia"/>
        </w:rPr>
        <w:t>《场地环境评价导则》（</w:t>
      </w:r>
      <w:r>
        <w:rPr>
          <w:rFonts w:hint="eastAsia"/>
        </w:rPr>
        <w:t>DB117-66-2009</w:t>
      </w:r>
      <w:r>
        <w:rPr>
          <w:rFonts w:hint="eastAsia"/>
        </w:rPr>
        <w:t>）；</w:t>
      </w:r>
    </w:p>
    <w:p w:rsidR="002E0378" w:rsidRDefault="005C380A">
      <w:pPr>
        <w:pStyle w:val="a4"/>
        <w:ind w:firstLine="480"/>
      </w:pPr>
      <w:r>
        <w:rPr>
          <w:rFonts w:hint="eastAsia"/>
          <w:lang w:val="en-US"/>
        </w:rPr>
        <w:t>9</w:t>
      </w:r>
      <w:r>
        <w:rPr>
          <w:rFonts w:hint="eastAsia"/>
          <w:lang w:val="en-US"/>
        </w:rPr>
        <w:t>、</w:t>
      </w:r>
      <w:r>
        <w:rPr>
          <w:rFonts w:hint="eastAsia"/>
        </w:rPr>
        <w:t>《吉林省土壤环境重点监管企业自行监测技术指南（暂行）》（</w:t>
      </w:r>
      <w:r>
        <w:rPr>
          <w:rFonts w:hint="eastAsia"/>
        </w:rPr>
        <w:t>2018</w:t>
      </w:r>
      <w:r>
        <w:rPr>
          <w:rFonts w:hint="eastAsia"/>
        </w:rPr>
        <w:t>年</w:t>
      </w:r>
      <w:r>
        <w:rPr>
          <w:rFonts w:hint="eastAsia"/>
        </w:rPr>
        <w:t>9</w:t>
      </w:r>
      <w:r>
        <w:rPr>
          <w:rFonts w:hint="eastAsia"/>
        </w:rPr>
        <w:t>月）；</w:t>
      </w:r>
    </w:p>
    <w:p w:rsidR="002E0378" w:rsidRDefault="005C380A">
      <w:pPr>
        <w:pStyle w:val="a4"/>
        <w:ind w:firstLine="480"/>
      </w:pPr>
      <w:r>
        <w:rPr>
          <w:rFonts w:hint="eastAsia"/>
          <w:lang w:val="en-US"/>
        </w:rPr>
        <w:t>10</w:t>
      </w:r>
      <w:r>
        <w:rPr>
          <w:rFonts w:hint="eastAsia"/>
          <w:lang w:val="en-US"/>
        </w:rPr>
        <w:t>、</w:t>
      </w:r>
      <w:r>
        <w:rPr>
          <w:rFonts w:hint="eastAsia"/>
        </w:rPr>
        <w:t>《工业企业土壤污染隐患排查指南》；</w:t>
      </w:r>
    </w:p>
    <w:p w:rsidR="002E0378" w:rsidRDefault="005C380A">
      <w:pPr>
        <w:pStyle w:val="a4"/>
        <w:ind w:firstLine="480"/>
      </w:pPr>
      <w:r>
        <w:rPr>
          <w:rFonts w:hint="eastAsia"/>
          <w:lang w:val="en-US"/>
        </w:rPr>
        <w:t>11</w:t>
      </w:r>
      <w:r>
        <w:rPr>
          <w:rFonts w:hint="eastAsia"/>
          <w:lang w:val="en-US"/>
        </w:rPr>
        <w:t>、</w:t>
      </w:r>
      <w:r>
        <w:rPr>
          <w:rFonts w:hint="eastAsia"/>
        </w:rPr>
        <w:t>《重点监管单位土壤污染隐患排查指南（试行）》（生态环境部公告</w:t>
      </w:r>
      <w:r>
        <w:rPr>
          <w:rFonts w:hint="eastAsia"/>
        </w:rPr>
        <w:t xml:space="preserve"> 2021</w:t>
      </w:r>
      <w:r>
        <w:rPr>
          <w:rFonts w:hint="eastAsia"/>
        </w:rPr>
        <w:t>年</w:t>
      </w:r>
      <w:r>
        <w:rPr>
          <w:rFonts w:hint="eastAsia"/>
        </w:rPr>
        <w:t xml:space="preserve"> </w:t>
      </w:r>
      <w:r>
        <w:rPr>
          <w:rFonts w:hint="eastAsia"/>
        </w:rPr>
        <w:t>第</w:t>
      </w:r>
      <w:r>
        <w:rPr>
          <w:rFonts w:hint="eastAsia"/>
        </w:rPr>
        <w:t>1</w:t>
      </w:r>
      <w:r>
        <w:rPr>
          <w:rFonts w:hint="eastAsia"/>
        </w:rPr>
        <w:t>号）；</w:t>
      </w:r>
    </w:p>
    <w:p w:rsidR="002E0378" w:rsidRDefault="005C380A">
      <w:pPr>
        <w:pStyle w:val="a4"/>
        <w:ind w:firstLine="480"/>
      </w:pPr>
      <w:r>
        <w:rPr>
          <w:rFonts w:hint="eastAsia"/>
          <w:lang w:val="en-US"/>
        </w:rPr>
        <w:t>12</w:t>
      </w:r>
      <w:r>
        <w:rPr>
          <w:rFonts w:hint="eastAsia"/>
          <w:lang w:val="en-US"/>
        </w:rPr>
        <w:t>、</w:t>
      </w:r>
      <w:r>
        <w:rPr>
          <w:rFonts w:hint="eastAsia"/>
        </w:rPr>
        <w:t>《土壤环境质量</w:t>
      </w:r>
      <w:r>
        <w:rPr>
          <w:rFonts w:hint="eastAsia"/>
        </w:rPr>
        <w:t xml:space="preserve"> </w:t>
      </w:r>
      <w:r>
        <w:rPr>
          <w:rFonts w:hint="eastAsia"/>
        </w:rPr>
        <w:t>建设用地土壤污染风险管控标准（试行）》（</w:t>
      </w:r>
      <w:r>
        <w:rPr>
          <w:rFonts w:hint="eastAsia"/>
        </w:rPr>
        <w:t>GB36600 -2018</w:t>
      </w:r>
      <w:r>
        <w:rPr>
          <w:rFonts w:hint="eastAsia"/>
        </w:rPr>
        <w:t>）；</w:t>
      </w:r>
    </w:p>
    <w:p w:rsidR="002E0378" w:rsidRDefault="005C380A">
      <w:pPr>
        <w:pStyle w:val="a4"/>
        <w:ind w:firstLine="480"/>
      </w:pPr>
      <w:r>
        <w:rPr>
          <w:rFonts w:hint="eastAsia"/>
          <w:lang w:val="en-US"/>
        </w:rPr>
        <w:t>13</w:t>
      </w:r>
      <w:r>
        <w:rPr>
          <w:rFonts w:hint="eastAsia"/>
          <w:lang w:val="en-US"/>
        </w:rPr>
        <w:t>、</w:t>
      </w:r>
      <w:r>
        <w:rPr>
          <w:rFonts w:hint="eastAsia"/>
        </w:rPr>
        <w:t>《地下水环境质量标准》（</w:t>
      </w:r>
      <w:r>
        <w:rPr>
          <w:rFonts w:hint="eastAsia"/>
        </w:rPr>
        <w:t>GB/T14848-2017</w:t>
      </w:r>
      <w:r>
        <w:rPr>
          <w:rFonts w:hint="eastAsia"/>
        </w:rPr>
        <w:t>）；</w:t>
      </w:r>
    </w:p>
    <w:p w:rsidR="002E0378" w:rsidRDefault="005C380A">
      <w:pPr>
        <w:pStyle w:val="a4"/>
        <w:ind w:firstLine="480"/>
      </w:pPr>
      <w:r>
        <w:rPr>
          <w:rFonts w:hint="eastAsia"/>
          <w:lang w:val="en-US"/>
        </w:rPr>
        <w:t>14</w:t>
      </w:r>
      <w:r>
        <w:rPr>
          <w:rFonts w:hint="eastAsia"/>
          <w:lang w:val="en-US"/>
        </w:rPr>
        <w:t>、</w:t>
      </w:r>
      <w:r>
        <w:rPr>
          <w:rFonts w:hint="eastAsia"/>
        </w:rPr>
        <w:t>《危险废物贮存污染控制标准</w:t>
      </w:r>
      <w:r>
        <w:rPr>
          <w:rFonts w:hint="eastAsia"/>
        </w:rPr>
        <w:t>(2013</w:t>
      </w:r>
      <w:r>
        <w:rPr>
          <w:rFonts w:hint="eastAsia"/>
        </w:rPr>
        <w:t>年修订）》（</w:t>
      </w:r>
      <w:r>
        <w:rPr>
          <w:rFonts w:hint="eastAsia"/>
        </w:rPr>
        <w:t>GB18597-2001</w:t>
      </w:r>
      <w:r>
        <w:rPr>
          <w:rFonts w:hint="eastAsia"/>
        </w:rPr>
        <w:t>）；</w:t>
      </w:r>
    </w:p>
    <w:p w:rsidR="002E0378" w:rsidRDefault="005C380A">
      <w:pPr>
        <w:pStyle w:val="a4"/>
        <w:ind w:firstLine="480"/>
      </w:pPr>
      <w:r>
        <w:rPr>
          <w:rFonts w:hint="eastAsia"/>
          <w:lang w:val="en-US"/>
        </w:rPr>
        <w:t>15</w:t>
      </w:r>
      <w:r>
        <w:rPr>
          <w:rFonts w:hint="eastAsia"/>
          <w:lang w:val="en-US"/>
        </w:rPr>
        <w:t>、</w:t>
      </w:r>
      <w:r>
        <w:rPr>
          <w:rFonts w:hint="eastAsia"/>
        </w:rPr>
        <w:t>《工业企业土壤和地下水自行监测技术指南（试行）》（</w:t>
      </w:r>
      <w:r>
        <w:rPr>
          <w:rFonts w:hint="eastAsia"/>
        </w:rPr>
        <w:t>HJ1209-2021</w:t>
      </w:r>
      <w:r>
        <w:rPr>
          <w:rFonts w:hint="eastAsia"/>
        </w:rPr>
        <w:t>）；</w:t>
      </w:r>
    </w:p>
    <w:p w:rsidR="002E0378" w:rsidRDefault="005C380A">
      <w:pPr>
        <w:pStyle w:val="a4"/>
        <w:ind w:firstLine="480"/>
      </w:pPr>
      <w:r>
        <w:rPr>
          <w:rFonts w:hint="eastAsia"/>
          <w:lang w:val="en-US"/>
        </w:rPr>
        <w:t>16</w:t>
      </w:r>
      <w:r>
        <w:rPr>
          <w:rFonts w:hint="eastAsia"/>
          <w:lang w:val="en-US"/>
        </w:rPr>
        <w:t>、</w:t>
      </w:r>
      <w:r>
        <w:rPr>
          <w:rFonts w:hint="eastAsia"/>
        </w:rPr>
        <w:t>《吉林市土壤污染重点监管单位名单（</w:t>
      </w:r>
      <w:r>
        <w:rPr>
          <w:rFonts w:hint="eastAsia"/>
        </w:rPr>
        <w:t>202</w:t>
      </w:r>
      <w:r>
        <w:rPr>
          <w:rFonts w:hint="eastAsia"/>
          <w:lang w:val="en-US"/>
        </w:rPr>
        <w:t>3</w:t>
      </w:r>
      <w:r>
        <w:rPr>
          <w:rFonts w:hint="eastAsia"/>
        </w:rPr>
        <w:t>年调整版）》（吉市环发【</w:t>
      </w:r>
      <w:r>
        <w:rPr>
          <w:rFonts w:hint="eastAsia"/>
        </w:rPr>
        <w:t>202</w:t>
      </w:r>
      <w:r>
        <w:rPr>
          <w:rFonts w:hint="eastAsia"/>
          <w:lang w:val="en-US"/>
        </w:rPr>
        <w:t>3</w:t>
      </w:r>
      <w:r>
        <w:rPr>
          <w:rFonts w:hint="eastAsia"/>
        </w:rPr>
        <w:t>】</w:t>
      </w:r>
      <w:r>
        <w:rPr>
          <w:rFonts w:hint="eastAsia"/>
          <w:lang w:val="en-US"/>
        </w:rPr>
        <w:t>80</w:t>
      </w:r>
      <w:r>
        <w:rPr>
          <w:rFonts w:hint="eastAsia"/>
        </w:rPr>
        <w:t>号）；</w:t>
      </w:r>
    </w:p>
    <w:p w:rsidR="002E0378" w:rsidRDefault="005C380A">
      <w:pPr>
        <w:pStyle w:val="5"/>
        <w:numPr>
          <w:ilvl w:val="0"/>
          <w:numId w:val="0"/>
        </w:numPr>
        <w:tabs>
          <w:tab w:val="clear" w:pos="5889"/>
        </w:tabs>
        <w:spacing w:line="360" w:lineRule="auto"/>
        <w:ind w:firstLineChars="200" w:firstLine="480"/>
        <w:jc w:val="both"/>
        <w:rPr>
          <w:rFonts w:ascii="Times New Roman" w:hAnsi="Times New Roman" w:cs="宋体"/>
          <w:sz w:val="24"/>
          <w:szCs w:val="28"/>
          <w:lang w:bidi="zh-CN"/>
        </w:rPr>
      </w:pPr>
      <w:r>
        <w:rPr>
          <w:rFonts w:ascii="Times New Roman" w:hAnsi="Times New Roman" w:cs="宋体" w:hint="eastAsia"/>
          <w:sz w:val="24"/>
          <w:szCs w:val="28"/>
          <w:lang w:bidi="zh-CN"/>
        </w:rPr>
        <w:t>17</w:t>
      </w:r>
      <w:r>
        <w:rPr>
          <w:rFonts w:ascii="Times New Roman" w:hAnsi="Times New Roman" w:cs="宋体" w:hint="eastAsia"/>
          <w:sz w:val="24"/>
          <w:szCs w:val="28"/>
          <w:lang w:bidi="zh-CN"/>
        </w:rPr>
        <w:t>、</w:t>
      </w:r>
      <w:r>
        <w:rPr>
          <w:rFonts w:hint="eastAsia"/>
          <w:sz w:val="24"/>
        </w:rPr>
        <w:t>《关于印发吉林市土壤污染重点监管单位土壤污染隐患排查“回头看”工作方案的通知》（</w:t>
      </w:r>
      <w:r>
        <w:rPr>
          <w:rFonts w:ascii="Times New Roman" w:hAnsi="Times New Roman" w:cs="宋体" w:hint="eastAsia"/>
          <w:sz w:val="24"/>
          <w:szCs w:val="28"/>
          <w:lang w:val="zh-CN" w:bidi="zh-CN"/>
        </w:rPr>
        <w:t>吉市环发【</w:t>
      </w:r>
      <w:r>
        <w:rPr>
          <w:rFonts w:ascii="Times New Roman" w:hAnsi="Times New Roman" w:cs="宋体" w:hint="eastAsia"/>
          <w:sz w:val="24"/>
          <w:szCs w:val="28"/>
          <w:lang w:val="zh-CN" w:bidi="zh-CN"/>
        </w:rPr>
        <w:t>202</w:t>
      </w:r>
      <w:r>
        <w:rPr>
          <w:rFonts w:ascii="Times New Roman" w:hAnsi="Times New Roman" w:cs="宋体" w:hint="eastAsia"/>
          <w:sz w:val="24"/>
          <w:szCs w:val="28"/>
          <w:lang w:bidi="zh-CN"/>
        </w:rPr>
        <w:t>3</w:t>
      </w:r>
      <w:r>
        <w:rPr>
          <w:rFonts w:ascii="Times New Roman" w:hAnsi="Times New Roman" w:cs="宋体" w:hint="eastAsia"/>
          <w:sz w:val="24"/>
          <w:szCs w:val="28"/>
          <w:lang w:val="zh-CN" w:bidi="zh-CN"/>
        </w:rPr>
        <w:t>】</w:t>
      </w:r>
      <w:r>
        <w:rPr>
          <w:rFonts w:ascii="Times New Roman" w:hAnsi="Times New Roman" w:cs="宋体" w:hint="eastAsia"/>
          <w:sz w:val="24"/>
          <w:szCs w:val="28"/>
          <w:lang w:bidi="zh-CN"/>
        </w:rPr>
        <w:t>111</w:t>
      </w:r>
      <w:r>
        <w:rPr>
          <w:rFonts w:ascii="Times New Roman" w:hAnsi="Times New Roman" w:cs="宋体" w:hint="eastAsia"/>
          <w:sz w:val="24"/>
          <w:szCs w:val="28"/>
          <w:lang w:val="zh-CN" w:bidi="zh-CN"/>
        </w:rPr>
        <w:t>号）。</w:t>
      </w:r>
    </w:p>
    <w:p w:rsidR="002E0378" w:rsidRDefault="005C380A">
      <w:pPr>
        <w:pStyle w:val="3"/>
        <w:rPr>
          <w:rFonts w:cs="宋体"/>
          <w:szCs w:val="28"/>
          <w:lang w:val="zh-CN"/>
        </w:rPr>
      </w:pPr>
      <w:bookmarkStart w:id="15" w:name="_Toc29819"/>
      <w:r>
        <w:t>1.4.3</w:t>
      </w:r>
      <w:r>
        <w:rPr>
          <w:rFonts w:hint="eastAsia"/>
        </w:rPr>
        <w:t xml:space="preserve"> </w:t>
      </w:r>
      <w:r>
        <w:rPr>
          <w:lang w:val="zh-CN"/>
        </w:rPr>
        <w:t>其它</w:t>
      </w:r>
      <w:r>
        <w:t>文件</w:t>
      </w:r>
      <w:bookmarkEnd w:id="15"/>
    </w:p>
    <w:p w:rsidR="002E0378" w:rsidRDefault="005C380A">
      <w:pPr>
        <w:pStyle w:val="a4"/>
        <w:ind w:firstLine="480"/>
      </w:pPr>
      <w:r>
        <w:rPr>
          <w:rFonts w:hint="eastAsia"/>
          <w:lang w:val="en-US"/>
        </w:rPr>
        <w:t>1</w:t>
      </w:r>
      <w:r>
        <w:rPr>
          <w:rFonts w:hint="eastAsia"/>
          <w:lang w:val="en-US"/>
        </w:rPr>
        <w:t>、吉林省固体废物处理有限责任公司各项目环境影响报告书（表）；</w:t>
      </w:r>
    </w:p>
    <w:p w:rsidR="002E0378" w:rsidRDefault="005C380A">
      <w:pPr>
        <w:pStyle w:val="a4"/>
        <w:ind w:firstLine="480"/>
        <w:rPr>
          <w:lang w:val="en-US"/>
        </w:rPr>
      </w:pPr>
      <w:r>
        <w:rPr>
          <w:rFonts w:hint="eastAsia"/>
          <w:lang w:val="en-US"/>
        </w:rPr>
        <w:t>2</w:t>
      </w:r>
      <w:r>
        <w:rPr>
          <w:rFonts w:hint="eastAsia"/>
          <w:lang w:val="en-US"/>
        </w:rPr>
        <w:t>、吉林省固体废物处理有限责任公司突发环境事件应急预案；</w:t>
      </w:r>
    </w:p>
    <w:p w:rsidR="002E0378" w:rsidRDefault="005C380A">
      <w:pPr>
        <w:pStyle w:val="a4"/>
        <w:ind w:firstLine="480"/>
      </w:pPr>
      <w:r>
        <w:rPr>
          <w:rFonts w:hint="eastAsia"/>
          <w:lang w:val="en-US"/>
        </w:rPr>
        <w:t>3</w:t>
      </w:r>
      <w:r>
        <w:rPr>
          <w:rFonts w:hint="eastAsia"/>
          <w:lang w:val="en-US"/>
        </w:rPr>
        <w:t>、吉林省固体废物处理有限责任公司</w:t>
      </w:r>
      <w:r>
        <w:rPr>
          <w:rFonts w:hint="eastAsia"/>
        </w:rPr>
        <w:t>提供的其它相关资料。</w:t>
      </w:r>
    </w:p>
    <w:p w:rsidR="002E0378" w:rsidRDefault="002E0378">
      <w:pPr>
        <w:pStyle w:val="a4"/>
        <w:ind w:firstLine="480"/>
        <w:sectPr w:rsidR="002E0378" w:rsidSect="00F74FB3">
          <w:footerReference w:type="default" r:id="rId12"/>
          <w:pgSz w:w="11906" w:h="16838"/>
          <w:pgMar w:top="1440" w:right="1803" w:bottom="1440" w:left="1803" w:header="851" w:footer="992" w:gutter="0"/>
          <w:pgNumType w:start="3"/>
          <w:cols w:space="720"/>
        </w:sectPr>
      </w:pPr>
    </w:p>
    <w:p w:rsidR="002E0378" w:rsidRDefault="005C380A">
      <w:pPr>
        <w:pStyle w:val="1"/>
        <w:rPr>
          <w:rFonts w:ascii="宋体" w:hAnsi="宋体" w:cs="宋体"/>
          <w:szCs w:val="28"/>
        </w:rPr>
      </w:pPr>
      <w:bookmarkStart w:id="16" w:name="_Toc19736"/>
      <w:bookmarkStart w:id="17" w:name="_Toc10150"/>
      <w:r>
        <w:rPr>
          <w:rFonts w:hint="eastAsia"/>
        </w:rPr>
        <w:lastRenderedPageBreak/>
        <w:t xml:space="preserve">2 </w:t>
      </w:r>
      <w:r>
        <w:rPr>
          <w:rFonts w:hint="eastAsia"/>
        </w:rPr>
        <w:t>企业概况</w:t>
      </w:r>
      <w:bookmarkEnd w:id="16"/>
      <w:bookmarkEnd w:id="17"/>
    </w:p>
    <w:p w:rsidR="002E0378" w:rsidRDefault="005C380A">
      <w:pPr>
        <w:pStyle w:val="2"/>
        <w:rPr>
          <w:rFonts w:ascii="宋体" w:hAnsi="宋体" w:cs="宋体"/>
          <w:szCs w:val="28"/>
        </w:rPr>
      </w:pPr>
      <w:bookmarkStart w:id="18" w:name="_Toc1024"/>
      <w:bookmarkStart w:id="19" w:name="_Toc19154"/>
      <w:r>
        <w:rPr>
          <w:rFonts w:hint="eastAsia"/>
        </w:rPr>
        <w:t xml:space="preserve">2.1 </w:t>
      </w:r>
      <w:r>
        <w:rPr>
          <w:rFonts w:hint="eastAsia"/>
        </w:rPr>
        <w:t>企业基础信息</w:t>
      </w:r>
      <w:bookmarkEnd w:id="18"/>
      <w:bookmarkEnd w:id="19"/>
    </w:p>
    <w:p w:rsidR="002E0378" w:rsidRDefault="005C380A">
      <w:pPr>
        <w:pStyle w:val="a4"/>
        <w:ind w:firstLine="480"/>
      </w:pPr>
      <w:r>
        <w:rPr>
          <w:rFonts w:cs="Times New Roman"/>
          <w:szCs w:val="24"/>
        </w:rPr>
        <w:t>吉林省固体废物处理有限责任公司位于吉林市龙潭区大砬子村二队，公司</w:t>
      </w:r>
      <w:r>
        <w:rPr>
          <w:rFonts w:cs="Times New Roman"/>
          <w:snapToGrid w:val="0"/>
          <w:color w:val="000000"/>
          <w:spacing w:val="2"/>
          <w:kern w:val="0"/>
          <w:szCs w:val="24"/>
        </w:rPr>
        <w:t>总占地面积</w:t>
      </w:r>
      <w:r>
        <w:rPr>
          <w:rFonts w:eastAsia="Times New Roman" w:cs="Times New Roman"/>
          <w:snapToGrid w:val="0"/>
          <w:color w:val="000000"/>
          <w:spacing w:val="2"/>
          <w:kern w:val="0"/>
          <w:szCs w:val="24"/>
        </w:rPr>
        <w:t>22.07×10</w:t>
      </w:r>
      <w:r>
        <w:rPr>
          <w:rFonts w:eastAsia="Times New Roman" w:cs="Times New Roman"/>
          <w:snapToGrid w:val="0"/>
          <w:color w:val="000000"/>
          <w:spacing w:val="2"/>
          <w:kern w:val="0"/>
          <w:szCs w:val="24"/>
          <w:vertAlign w:val="superscript"/>
        </w:rPr>
        <w:t>4</w:t>
      </w:r>
      <w:r>
        <w:rPr>
          <w:rFonts w:eastAsia="Times New Roman" w:cs="Times New Roman"/>
          <w:snapToGrid w:val="0"/>
          <w:color w:val="000000"/>
          <w:kern w:val="0"/>
          <w:szCs w:val="24"/>
        </w:rPr>
        <w:t>m</w:t>
      </w:r>
      <w:r>
        <w:rPr>
          <w:rFonts w:cs="Times New Roman"/>
          <w:snapToGrid w:val="0"/>
          <w:color w:val="000000"/>
          <w:kern w:val="0"/>
          <w:szCs w:val="24"/>
          <w:vertAlign w:val="superscript"/>
          <w:lang w:val="en-US"/>
        </w:rPr>
        <w:t>2</w:t>
      </w:r>
      <w:r>
        <w:rPr>
          <w:rFonts w:cs="Times New Roman"/>
          <w:snapToGrid w:val="0"/>
          <w:color w:val="000000"/>
          <w:spacing w:val="2"/>
          <w:kern w:val="0"/>
          <w:szCs w:val="24"/>
        </w:rPr>
        <w:t>，</w:t>
      </w:r>
      <w:r>
        <w:rPr>
          <w:rFonts w:cs="Times New Roman"/>
          <w:snapToGrid w:val="0"/>
          <w:color w:val="000000"/>
          <w:spacing w:val="9"/>
          <w:kern w:val="0"/>
          <w:szCs w:val="24"/>
        </w:rPr>
        <w:t>承</w:t>
      </w:r>
      <w:r>
        <w:rPr>
          <w:rFonts w:cs="Times New Roman"/>
          <w:snapToGrid w:val="0"/>
          <w:color w:val="000000"/>
          <w:spacing w:val="7"/>
          <w:kern w:val="0"/>
          <w:szCs w:val="24"/>
        </w:rPr>
        <w:t>担吉林省危险废物和吉林市医疗废物的安全处置，厂区现状固废处理包括填埋</w:t>
      </w:r>
      <w:r>
        <w:rPr>
          <w:rFonts w:cs="Times New Roman"/>
          <w:snapToGrid w:val="0"/>
          <w:color w:val="000000"/>
          <w:spacing w:val="4"/>
          <w:kern w:val="0"/>
          <w:szCs w:val="24"/>
        </w:rPr>
        <w:t>规模为</w:t>
      </w:r>
      <w:r>
        <w:rPr>
          <w:rFonts w:eastAsia="Times New Roman" w:cs="Times New Roman"/>
          <w:snapToGrid w:val="0"/>
          <w:color w:val="000000"/>
          <w:spacing w:val="4"/>
          <w:kern w:val="0"/>
          <w:szCs w:val="24"/>
        </w:rPr>
        <w:t>11</w:t>
      </w:r>
      <w:r>
        <w:rPr>
          <w:rFonts w:cs="Times New Roman"/>
          <w:snapToGrid w:val="0"/>
          <w:color w:val="000000"/>
          <w:spacing w:val="4"/>
          <w:kern w:val="0"/>
          <w:szCs w:val="24"/>
        </w:rPr>
        <w:t>万吨</w:t>
      </w:r>
      <w:r>
        <w:rPr>
          <w:rFonts w:eastAsia="Times New Roman" w:cs="Times New Roman"/>
          <w:snapToGrid w:val="0"/>
          <w:color w:val="000000"/>
          <w:spacing w:val="4"/>
          <w:kern w:val="0"/>
          <w:szCs w:val="24"/>
        </w:rPr>
        <w:t>/</w:t>
      </w:r>
      <w:r>
        <w:rPr>
          <w:rFonts w:cs="Times New Roman"/>
          <w:snapToGrid w:val="0"/>
          <w:color w:val="000000"/>
          <w:spacing w:val="4"/>
          <w:kern w:val="0"/>
          <w:szCs w:val="24"/>
        </w:rPr>
        <w:t>年</w:t>
      </w:r>
      <w:r>
        <w:rPr>
          <w:rFonts w:cs="Times New Roman"/>
          <w:snapToGrid w:val="0"/>
          <w:color w:val="000000"/>
          <w:spacing w:val="4"/>
          <w:kern w:val="0"/>
          <w:szCs w:val="24"/>
        </w:rPr>
        <w:t>(</w:t>
      </w:r>
      <w:r>
        <w:rPr>
          <w:rFonts w:cs="Times New Roman"/>
          <w:snapToGrid w:val="0"/>
          <w:color w:val="000000"/>
          <w:spacing w:val="4"/>
          <w:kern w:val="0"/>
          <w:szCs w:val="24"/>
        </w:rPr>
        <w:t>库容量为</w:t>
      </w:r>
      <w:r>
        <w:rPr>
          <w:rFonts w:eastAsia="Times New Roman" w:cs="Times New Roman"/>
          <w:snapToGrid w:val="0"/>
          <w:color w:val="000000"/>
          <w:spacing w:val="4"/>
          <w:kern w:val="0"/>
          <w:szCs w:val="24"/>
        </w:rPr>
        <w:t>104.3</w:t>
      </w:r>
      <w:r>
        <w:rPr>
          <w:rFonts w:cs="Times New Roman"/>
          <w:snapToGrid w:val="0"/>
          <w:color w:val="000000"/>
          <w:spacing w:val="4"/>
          <w:kern w:val="0"/>
          <w:szCs w:val="24"/>
        </w:rPr>
        <w:t>万立方米的危险废物填埋场，其中一期库容为</w:t>
      </w:r>
      <w:r>
        <w:rPr>
          <w:rFonts w:eastAsia="Times New Roman" w:cs="Times New Roman"/>
          <w:snapToGrid w:val="0"/>
          <w:color w:val="000000"/>
          <w:spacing w:val="4"/>
          <w:kern w:val="0"/>
          <w:szCs w:val="24"/>
        </w:rPr>
        <w:t>18.</w:t>
      </w:r>
      <w:r>
        <w:rPr>
          <w:rFonts w:eastAsia="Times New Roman" w:cs="Times New Roman"/>
          <w:snapToGrid w:val="0"/>
          <w:color w:val="000000"/>
          <w:spacing w:val="1"/>
          <w:kern w:val="0"/>
          <w:szCs w:val="24"/>
        </w:rPr>
        <w:t>5</w:t>
      </w:r>
      <w:r>
        <w:rPr>
          <w:rFonts w:cs="Times New Roman"/>
          <w:snapToGrid w:val="0"/>
          <w:color w:val="000000"/>
          <w:spacing w:val="7"/>
          <w:kern w:val="0"/>
          <w:szCs w:val="24"/>
        </w:rPr>
        <w:t>万立方米，二期库容为</w:t>
      </w:r>
      <w:r>
        <w:rPr>
          <w:rFonts w:eastAsia="Times New Roman" w:cs="Times New Roman"/>
          <w:snapToGrid w:val="0"/>
          <w:color w:val="000000"/>
          <w:spacing w:val="7"/>
          <w:kern w:val="0"/>
          <w:szCs w:val="24"/>
        </w:rPr>
        <w:t>85.8</w:t>
      </w:r>
      <w:r>
        <w:rPr>
          <w:rFonts w:cs="Times New Roman"/>
          <w:snapToGrid w:val="0"/>
          <w:color w:val="000000"/>
          <w:spacing w:val="7"/>
          <w:kern w:val="0"/>
          <w:szCs w:val="24"/>
        </w:rPr>
        <w:t>万立方米</w:t>
      </w:r>
      <w:r>
        <w:rPr>
          <w:rFonts w:cs="Times New Roman"/>
          <w:snapToGrid w:val="0"/>
          <w:color w:val="000000"/>
          <w:spacing w:val="7"/>
          <w:kern w:val="0"/>
          <w:szCs w:val="24"/>
        </w:rPr>
        <w:t>)</w:t>
      </w:r>
      <w:r>
        <w:rPr>
          <w:rFonts w:cs="Times New Roman"/>
          <w:snapToGrid w:val="0"/>
          <w:color w:val="000000"/>
          <w:spacing w:val="7"/>
          <w:kern w:val="0"/>
          <w:szCs w:val="24"/>
        </w:rPr>
        <w:t>、</w:t>
      </w:r>
      <w:r>
        <w:rPr>
          <w:rFonts w:eastAsia="Times New Roman" w:cs="Times New Roman"/>
          <w:snapToGrid w:val="0"/>
          <w:color w:val="000000"/>
          <w:spacing w:val="7"/>
          <w:kern w:val="0"/>
          <w:szCs w:val="24"/>
        </w:rPr>
        <w:t>30</w:t>
      </w:r>
      <w:r>
        <w:rPr>
          <w:rFonts w:eastAsia="Times New Roman" w:cs="Times New Roman"/>
          <w:snapToGrid w:val="0"/>
          <w:color w:val="000000"/>
          <w:kern w:val="0"/>
          <w:szCs w:val="24"/>
        </w:rPr>
        <w:t>t</w:t>
      </w:r>
      <w:r>
        <w:rPr>
          <w:rFonts w:eastAsia="Times New Roman" w:cs="Times New Roman"/>
          <w:snapToGrid w:val="0"/>
          <w:color w:val="000000"/>
          <w:spacing w:val="7"/>
          <w:kern w:val="0"/>
          <w:szCs w:val="24"/>
        </w:rPr>
        <w:t>/</w:t>
      </w:r>
      <w:r>
        <w:rPr>
          <w:rFonts w:eastAsia="Times New Roman" w:cs="Times New Roman"/>
          <w:snapToGrid w:val="0"/>
          <w:color w:val="000000"/>
          <w:kern w:val="0"/>
          <w:szCs w:val="24"/>
        </w:rPr>
        <w:t>d</w:t>
      </w:r>
      <w:r>
        <w:rPr>
          <w:rFonts w:cs="Times New Roman"/>
          <w:snapToGrid w:val="0"/>
          <w:color w:val="000000"/>
          <w:spacing w:val="7"/>
          <w:kern w:val="0"/>
          <w:szCs w:val="24"/>
        </w:rPr>
        <w:t>的危险废物焚烧炉</w:t>
      </w:r>
      <w:r>
        <w:rPr>
          <w:rFonts w:cs="Times New Roman"/>
          <w:snapToGrid w:val="0"/>
          <w:color w:val="000000"/>
          <w:spacing w:val="7"/>
          <w:kern w:val="0"/>
          <w:szCs w:val="24"/>
        </w:rPr>
        <w:t>(</w:t>
      </w:r>
      <w:r>
        <w:rPr>
          <w:rFonts w:cs="Times New Roman"/>
          <w:snapToGrid w:val="0"/>
          <w:color w:val="000000"/>
          <w:spacing w:val="7"/>
          <w:kern w:val="0"/>
          <w:szCs w:val="24"/>
        </w:rPr>
        <w:t>年经</w:t>
      </w:r>
      <w:r>
        <w:rPr>
          <w:rFonts w:cs="Times New Roman"/>
          <w:snapToGrid w:val="0"/>
          <w:color w:val="000000"/>
          <w:spacing w:val="5"/>
          <w:kern w:val="0"/>
          <w:szCs w:val="24"/>
        </w:rPr>
        <w:t>营</w:t>
      </w:r>
      <w:r>
        <w:rPr>
          <w:rFonts w:cs="Times New Roman"/>
          <w:snapToGrid w:val="0"/>
          <w:color w:val="000000"/>
          <w:kern w:val="0"/>
          <w:szCs w:val="24"/>
        </w:rPr>
        <w:t>规</w:t>
      </w:r>
      <w:r>
        <w:rPr>
          <w:rFonts w:cs="Times New Roman"/>
          <w:snapToGrid w:val="0"/>
          <w:color w:val="000000"/>
          <w:spacing w:val="-1"/>
          <w:kern w:val="0"/>
          <w:szCs w:val="24"/>
        </w:rPr>
        <w:t>模</w:t>
      </w:r>
      <w:r>
        <w:rPr>
          <w:rFonts w:eastAsia="Times New Roman" w:cs="Times New Roman"/>
          <w:snapToGrid w:val="0"/>
          <w:color w:val="000000"/>
          <w:kern w:val="0"/>
          <w:szCs w:val="24"/>
        </w:rPr>
        <w:t>6390</w:t>
      </w:r>
      <w:r>
        <w:rPr>
          <w:rFonts w:cs="Times New Roman"/>
          <w:snapToGrid w:val="0"/>
          <w:color w:val="000000"/>
          <w:kern w:val="0"/>
          <w:szCs w:val="24"/>
        </w:rPr>
        <w:t>吨</w:t>
      </w:r>
      <w:r>
        <w:rPr>
          <w:rFonts w:cs="Times New Roman"/>
          <w:snapToGrid w:val="0"/>
          <w:color w:val="000000"/>
          <w:kern w:val="0"/>
          <w:szCs w:val="24"/>
        </w:rPr>
        <w:t>)</w:t>
      </w:r>
      <w:r>
        <w:rPr>
          <w:rFonts w:cs="Times New Roman"/>
          <w:snapToGrid w:val="0"/>
          <w:color w:val="000000"/>
          <w:kern w:val="0"/>
          <w:szCs w:val="24"/>
        </w:rPr>
        <w:t>、</w:t>
      </w:r>
      <w:r>
        <w:rPr>
          <w:rFonts w:eastAsia="Times New Roman" w:cs="Times New Roman"/>
          <w:snapToGrid w:val="0"/>
          <w:color w:val="000000"/>
          <w:kern w:val="0"/>
          <w:szCs w:val="24"/>
        </w:rPr>
        <w:t>70t/d</w:t>
      </w:r>
      <w:r>
        <w:rPr>
          <w:rFonts w:cs="Times New Roman"/>
          <w:snapToGrid w:val="0"/>
          <w:color w:val="000000"/>
          <w:kern w:val="0"/>
          <w:szCs w:val="24"/>
        </w:rPr>
        <w:t>的危险废物焚烧炉</w:t>
      </w:r>
      <w:r>
        <w:rPr>
          <w:rFonts w:cs="Times New Roman"/>
          <w:snapToGrid w:val="0"/>
          <w:color w:val="000000"/>
          <w:kern w:val="0"/>
          <w:szCs w:val="24"/>
        </w:rPr>
        <w:t>(</w:t>
      </w:r>
      <w:r>
        <w:rPr>
          <w:rFonts w:cs="Times New Roman"/>
          <w:snapToGrid w:val="0"/>
          <w:color w:val="000000"/>
          <w:kern w:val="0"/>
          <w:szCs w:val="24"/>
        </w:rPr>
        <w:t>年经营规模</w:t>
      </w:r>
      <w:r>
        <w:rPr>
          <w:rFonts w:cs="Times New Roman"/>
          <w:snapToGrid w:val="0"/>
          <w:color w:val="000000"/>
          <w:kern w:val="0"/>
          <w:szCs w:val="24"/>
        </w:rPr>
        <w:t xml:space="preserve"> </w:t>
      </w:r>
      <w:r>
        <w:rPr>
          <w:rFonts w:eastAsia="Times New Roman" w:cs="Times New Roman"/>
          <w:snapToGrid w:val="0"/>
          <w:color w:val="000000"/>
          <w:kern w:val="0"/>
          <w:szCs w:val="24"/>
        </w:rPr>
        <w:t>21000</w:t>
      </w:r>
      <w:r>
        <w:rPr>
          <w:rFonts w:cs="Times New Roman"/>
          <w:snapToGrid w:val="0"/>
          <w:color w:val="000000"/>
          <w:kern w:val="0"/>
          <w:szCs w:val="24"/>
        </w:rPr>
        <w:t>吨</w:t>
      </w:r>
      <w:r>
        <w:rPr>
          <w:rFonts w:cs="Times New Roman"/>
          <w:snapToGrid w:val="0"/>
          <w:color w:val="000000"/>
          <w:kern w:val="0"/>
          <w:szCs w:val="24"/>
        </w:rPr>
        <w:t>)</w:t>
      </w:r>
      <w:r>
        <w:rPr>
          <w:rFonts w:cs="Times New Roman"/>
          <w:snapToGrid w:val="0"/>
          <w:color w:val="000000"/>
          <w:kern w:val="0"/>
          <w:szCs w:val="24"/>
        </w:rPr>
        <w:t>、物</w:t>
      </w:r>
      <w:r>
        <w:rPr>
          <w:rFonts w:eastAsia="Times New Roman" w:cs="Times New Roman"/>
          <w:snapToGrid w:val="0"/>
          <w:color w:val="000000"/>
          <w:kern w:val="0"/>
          <w:szCs w:val="24"/>
        </w:rPr>
        <w:t>/</w:t>
      </w:r>
      <w:r>
        <w:rPr>
          <w:rFonts w:cs="Times New Roman"/>
          <w:snapToGrid w:val="0"/>
          <w:color w:val="000000"/>
          <w:kern w:val="0"/>
          <w:szCs w:val="24"/>
        </w:rPr>
        <w:t>化系统</w:t>
      </w:r>
      <w:r>
        <w:rPr>
          <w:rFonts w:eastAsia="Times New Roman" w:cs="Times New Roman"/>
          <w:snapToGrid w:val="0"/>
          <w:color w:val="000000"/>
          <w:kern w:val="0"/>
          <w:szCs w:val="24"/>
        </w:rPr>
        <w:t>8000</w:t>
      </w:r>
      <w:r>
        <w:rPr>
          <w:rFonts w:cs="Times New Roman"/>
          <w:snapToGrid w:val="0"/>
          <w:color w:val="000000"/>
          <w:spacing w:val="4"/>
          <w:kern w:val="0"/>
          <w:szCs w:val="24"/>
        </w:rPr>
        <w:t>吨</w:t>
      </w:r>
      <w:r>
        <w:rPr>
          <w:rFonts w:eastAsia="Times New Roman" w:cs="Times New Roman"/>
          <w:snapToGrid w:val="0"/>
          <w:color w:val="000000"/>
          <w:spacing w:val="4"/>
          <w:kern w:val="0"/>
          <w:szCs w:val="24"/>
        </w:rPr>
        <w:t>/</w:t>
      </w:r>
      <w:r>
        <w:rPr>
          <w:rFonts w:cs="Times New Roman"/>
          <w:snapToGrid w:val="0"/>
          <w:color w:val="000000"/>
          <w:spacing w:val="4"/>
          <w:kern w:val="0"/>
          <w:szCs w:val="24"/>
        </w:rPr>
        <w:t>年</w:t>
      </w:r>
      <w:r>
        <w:rPr>
          <w:rFonts w:cs="Times New Roman" w:hint="eastAsia"/>
          <w:snapToGrid w:val="0"/>
          <w:color w:val="000000"/>
          <w:spacing w:val="4"/>
          <w:kern w:val="0"/>
          <w:szCs w:val="24"/>
        </w:rPr>
        <w:t>。</w:t>
      </w:r>
    </w:p>
    <w:p w:rsidR="002E0378" w:rsidRDefault="005C380A">
      <w:pPr>
        <w:spacing w:line="360" w:lineRule="auto"/>
        <w:rPr>
          <w:rFonts w:ascii="Times New Roman" w:hAnsi="Times New Roman"/>
          <w:b/>
          <w:bCs/>
          <w:sz w:val="24"/>
        </w:rPr>
      </w:pPr>
      <w:bookmarkStart w:id="20" w:name="_Toc6753"/>
      <w:r>
        <w:rPr>
          <w:rFonts w:ascii="Times New Roman" w:hAnsi="Times New Roman"/>
          <w:b/>
          <w:bCs/>
          <w:sz w:val="24"/>
        </w:rPr>
        <w:t>表</w:t>
      </w:r>
      <w:r>
        <w:rPr>
          <w:rFonts w:ascii="Times New Roman" w:hAnsi="Times New Roman"/>
          <w:b/>
          <w:bCs/>
          <w:sz w:val="24"/>
        </w:rPr>
        <w:t xml:space="preserve">2-1 </w:t>
      </w:r>
      <w:r>
        <w:rPr>
          <w:rFonts w:ascii="Times New Roman" w:hAnsi="Times New Roman"/>
          <w:b/>
          <w:bCs/>
          <w:sz w:val="24"/>
        </w:rPr>
        <w:t>企业基本信息表</w:t>
      </w:r>
    </w:p>
    <w:tbl>
      <w:tblPr>
        <w:tblStyle w:val="aa"/>
        <w:tblW w:w="5000" w:type="pct"/>
        <w:jc w:val="center"/>
        <w:tblLook w:val="04A0" w:firstRow="1" w:lastRow="0" w:firstColumn="1" w:lastColumn="0" w:noHBand="0" w:noVBand="1"/>
      </w:tblPr>
      <w:tblGrid>
        <w:gridCol w:w="1996"/>
        <w:gridCol w:w="2470"/>
        <w:gridCol w:w="1371"/>
        <w:gridCol w:w="2883"/>
      </w:tblGrid>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企业名称</w:t>
            </w:r>
          </w:p>
        </w:tc>
        <w:tc>
          <w:tcPr>
            <w:tcW w:w="3855" w:type="pct"/>
            <w:gridSpan w:val="3"/>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吉林省固体废物处理有限责任公司</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地址</w:t>
            </w:r>
          </w:p>
        </w:tc>
        <w:tc>
          <w:tcPr>
            <w:tcW w:w="3855" w:type="pct"/>
            <w:gridSpan w:val="3"/>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kern w:val="0"/>
              </w:rPr>
              <w:t>吉林市龙潭区大砬子村二队</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统一社会信用代码</w:t>
            </w:r>
          </w:p>
        </w:tc>
        <w:tc>
          <w:tcPr>
            <w:tcW w:w="141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91220201771062082H</w:t>
            </w:r>
          </w:p>
        </w:tc>
        <w:tc>
          <w:tcPr>
            <w:tcW w:w="78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经纬度</w:t>
            </w:r>
          </w:p>
        </w:tc>
        <w:tc>
          <w:tcPr>
            <w:tcW w:w="1652"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 xml:space="preserve">E  </w:t>
            </w:r>
            <w:r>
              <w:rPr>
                <w:rFonts w:ascii="Times New Roman" w:eastAsia="Times New Roman" w:hAnsi="Times New Roman"/>
                <w:spacing w:val="-2"/>
              </w:rPr>
              <w:t>126</w:t>
            </w:r>
            <w:r>
              <w:rPr>
                <w:rFonts w:ascii="Times New Roman" w:eastAsia="Times New Roman" w:hAnsi="Times New Roman"/>
                <w:spacing w:val="-1"/>
              </w:rPr>
              <w:t>°36′18. 17″</w:t>
            </w:r>
          </w:p>
          <w:p w:rsidR="002E0378" w:rsidRDefault="005C380A">
            <w:pPr>
              <w:spacing w:line="240" w:lineRule="exact"/>
              <w:rPr>
                <w:rFonts w:ascii="Times New Roman" w:hAnsi="Times New Roman"/>
              </w:rPr>
            </w:pPr>
            <w:r>
              <w:rPr>
                <w:rFonts w:ascii="Times New Roman" w:hAnsi="Times New Roman"/>
              </w:rPr>
              <w:t xml:space="preserve">N  </w:t>
            </w:r>
            <w:r>
              <w:rPr>
                <w:rFonts w:ascii="Times New Roman" w:eastAsia="Times New Roman" w:hAnsi="Times New Roman"/>
                <w:spacing w:val="4"/>
              </w:rPr>
              <w:t>43°55′03.67″</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法人代表</w:t>
            </w:r>
          </w:p>
        </w:tc>
        <w:tc>
          <w:tcPr>
            <w:tcW w:w="141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spacing w:val="7"/>
              </w:rPr>
              <w:t>王</w:t>
            </w:r>
            <w:r>
              <w:rPr>
                <w:rFonts w:ascii="Times New Roman" w:hAnsi="Times New Roman"/>
                <w:spacing w:val="6"/>
              </w:rPr>
              <w:t>长风</w:t>
            </w:r>
          </w:p>
        </w:tc>
        <w:tc>
          <w:tcPr>
            <w:tcW w:w="78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环保联系人</w:t>
            </w:r>
          </w:p>
        </w:tc>
        <w:tc>
          <w:tcPr>
            <w:tcW w:w="1652"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spacing w:val="2"/>
              </w:rPr>
              <w:t>张磊</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企业类型</w:t>
            </w:r>
          </w:p>
        </w:tc>
        <w:tc>
          <w:tcPr>
            <w:tcW w:w="141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spacing w:val="8"/>
              </w:rPr>
              <w:t>有限责任公司</w:t>
            </w:r>
          </w:p>
        </w:tc>
        <w:tc>
          <w:tcPr>
            <w:tcW w:w="78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企业状态</w:t>
            </w:r>
          </w:p>
        </w:tc>
        <w:tc>
          <w:tcPr>
            <w:tcW w:w="1652"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在产</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所属行业</w:t>
            </w:r>
          </w:p>
        </w:tc>
        <w:tc>
          <w:tcPr>
            <w:tcW w:w="141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N7724</w:t>
            </w:r>
            <w:r>
              <w:rPr>
                <w:rFonts w:ascii="Times New Roman" w:hAnsi="Times New Roman"/>
              </w:rPr>
              <w:t>危险废物治理</w:t>
            </w:r>
          </w:p>
        </w:tc>
        <w:tc>
          <w:tcPr>
            <w:tcW w:w="78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生产周期</w:t>
            </w:r>
          </w:p>
        </w:tc>
        <w:tc>
          <w:tcPr>
            <w:tcW w:w="1652"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333d/a</w:t>
            </w:r>
            <w:r>
              <w:rPr>
                <w:rFonts w:ascii="Times New Roman" w:hAnsi="Times New Roman"/>
              </w:rPr>
              <w:t>，</w:t>
            </w:r>
            <w:r>
              <w:rPr>
                <w:rFonts w:ascii="Times New Roman" w:hAnsi="Times New Roman"/>
              </w:rPr>
              <w:t>24h/d</w:t>
            </w:r>
          </w:p>
        </w:tc>
      </w:tr>
      <w:tr w:rsidR="002E0378">
        <w:trPr>
          <w:trHeight w:val="340"/>
          <w:jc w:val="center"/>
        </w:trPr>
        <w:tc>
          <w:tcPr>
            <w:tcW w:w="1144"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占地面积（</w:t>
            </w:r>
            <w:r>
              <w:rPr>
                <w:rFonts w:ascii="Times New Roman" w:hAnsi="Times New Roman"/>
              </w:rPr>
              <w:t>m</w:t>
            </w:r>
            <w:r>
              <w:rPr>
                <w:rFonts w:ascii="Times New Roman" w:hAnsi="Times New Roman"/>
                <w:vertAlign w:val="superscript"/>
              </w:rPr>
              <w:t>2</w:t>
            </w:r>
            <w:r>
              <w:rPr>
                <w:rFonts w:ascii="Times New Roman" w:hAnsi="Times New Roman"/>
              </w:rPr>
              <w:t>）</w:t>
            </w:r>
          </w:p>
        </w:tc>
        <w:tc>
          <w:tcPr>
            <w:tcW w:w="141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eastAsia="Times New Roman" w:hAnsi="Times New Roman"/>
                <w:spacing w:val="8"/>
              </w:rPr>
              <w:t>2</w:t>
            </w:r>
            <w:r>
              <w:rPr>
                <w:rFonts w:ascii="Times New Roman" w:eastAsia="Times New Roman" w:hAnsi="Times New Roman"/>
                <w:spacing w:val="7"/>
              </w:rPr>
              <w:t>2</w:t>
            </w:r>
            <w:r>
              <w:rPr>
                <w:rFonts w:ascii="Times New Roman" w:eastAsia="Times New Roman" w:hAnsi="Times New Roman"/>
                <w:spacing w:val="4"/>
              </w:rPr>
              <w:t>.07×10</w:t>
            </w:r>
            <w:r>
              <w:rPr>
                <w:rFonts w:hint="eastAsia"/>
                <w:spacing w:val="4"/>
                <w:vertAlign w:val="superscript"/>
              </w:rPr>
              <w:t>4</w:t>
            </w:r>
            <w:r>
              <w:rPr>
                <w:rFonts w:ascii="Times New Roman" w:eastAsia="Times New Roman" w:hAnsi="Times New Roman"/>
              </w:rPr>
              <w:t>m</w:t>
            </w:r>
            <w:r>
              <w:rPr>
                <w:rFonts w:hint="eastAsia"/>
                <w:vertAlign w:val="superscript"/>
              </w:rPr>
              <w:t>2</w:t>
            </w:r>
          </w:p>
        </w:tc>
        <w:tc>
          <w:tcPr>
            <w:tcW w:w="786"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职工人数</w:t>
            </w:r>
          </w:p>
        </w:tc>
        <w:tc>
          <w:tcPr>
            <w:tcW w:w="1652" w:type="pct"/>
            <w:tcBorders>
              <w:tl2br w:val="nil"/>
              <w:tr2bl w:val="nil"/>
            </w:tcBorders>
            <w:shd w:val="clear" w:color="auto" w:fill="auto"/>
            <w:vAlign w:val="center"/>
          </w:tcPr>
          <w:p w:rsidR="002E0378" w:rsidRDefault="005C380A">
            <w:pPr>
              <w:spacing w:line="240" w:lineRule="exact"/>
              <w:rPr>
                <w:rFonts w:ascii="Times New Roman" w:hAnsi="Times New Roman"/>
              </w:rPr>
            </w:pPr>
            <w:r>
              <w:rPr>
                <w:rFonts w:ascii="Times New Roman" w:hAnsi="Times New Roman"/>
              </w:rPr>
              <w:t>90</w:t>
            </w:r>
          </w:p>
        </w:tc>
      </w:tr>
    </w:tbl>
    <w:p w:rsidR="002E0378" w:rsidRDefault="005C380A">
      <w:pPr>
        <w:pStyle w:val="2"/>
        <w:rPr>
          <w:rFonts w:ascii="宋体" w:hAnsi="宋体" w:cs="宋体"/>
          <w:szCs w:val="28"/>
        </w:rPr>
      </w:pPr>
      <w:bookmarkStart w:id="21" w:name="_Toc12357"/>
      <w:r>
        <w:rPr>
          <w:rFonts w:hint="eastAsia"/>
        </w:rPr>
        <w:t xml:space="preserve">2.2 </w:t>
      </w:r>
      <w:r>
        <w:rPr>
          <w:rFonts w:hint="eastAsia"/>
        </w:rPr>
        <w:t>建设项目概况</w:t>
      </w:r>
      <w:bookmarkEnd w:id="20"/>
      <w:bookmarkEnd w:id="21"/>
    </w:p>
    <w:p w:rsidR="002E0378" w:rsidRDefault="005C380A">
      <w:pPr>
        <w:pStyle w:val="3"/>
      </w:pPr>
      <w:bookmarkStart w:id="22" w:name="_Toc2352"/>
      <w:bookmarkStart w:id="23" w:name="_Toc29486"/>
      <w:bookmarkStart w:id="24" w:name="_Toc16413"/>
      <w:r>
        <w:t>2.2.1</w:t>
      </w:r>
      <w:r>
        <w:rPr>
          <w:rFonts w:hint="eastAsia"/>
        </w:rPr>
        <w:t xml:space="preserve"> </w:t>
      </w:r>
      <w:r>
        <w:t>占地情况及厂区平面布置</w:t>
      </w:r>
      <w:bookmarkEnd w:id="22"/>
      <w:bookmarkEnd w:id="23"/>
      <w:bookmarkEnd w:id="24"/>
    </w:p>
    <w:p w:rsidR="002E0378" w:rsidRDefault="005C380A">
      <w:pPr>
        <w:adjustRightInd w:val="0"/>
        <w:snapToGrid w:val="0"/>
        <w:spacing w:line="480" w:lineRule="exact"/>
        <w:ind w:firstLineChars="200" w:firstLine="480"/>
        <w:jc w:val="left"/>
        <w:rPr>
          <w:rFonts w:ascii="Times New Roman" w:hAnsi="Times New Roman"/>
          <w:b/>
          <w:bCs/>
          <w:sz w:val="24"/>
        </w:rPr>
      </w:pPr>
      <w:bookmarkStart w:id="25" w:name="_Toc8294"/>
      <w:bookmarkStart w:id="26" w:name="_Toc17552"/>
      <w:r>
        <w:rPr>
          <w:rFonts w:ascii="Times New Roman" w:hAnsi="Times New Roman"/>
          <w:sz w:val="24"/>
          <w:szCs w:val="24"/>
        </w:rPr>
        <w:t>吉林省固体废物处理有限责任公司位于吉林市龙潭区大砬子村二队，公司</w:t>
      </w:r>
      <w:r>
        <w:rPr>
          <w:rFonts w:ascii="Times New Roman" w:hAnsi="Times New Roman"/>
          <w:snapToGrid w:val="0"/>
          <w:color w:val="000000"/>
          <w:spacing w:val="2"/>
          <w:kern w:val="0"/>
          <w:sz w:val="24"/>
          <w:szCs w:val="24"/>
        </w:rPr>
        <w:t>总占地面积</w:t>
      </w:r>
      <w:r>
        <w:rPr>
          <w:rFonts w:ascii="Times New Roman" w:eastAsia="Times New Roman" w:hAnsi="Times New Roman"/>
          <w:snapToGrid w:val="0"/>
          <w:color w:val="000000"/>
          <w:spacing w:val="2"/>
          <w:kern w:val="0"/>
          <w:sz w:val="24"/>
          <w:szCs w:val="24"/>
        </w:rPr>
        <w:t>22.07×10</w:t>
      </w:r>
      <w:r>
        <w:rPr>
          <w:rFonts w:ascii="Times New Roman" w:eastAsia="Times New Roman" w:hAnsi="Times New Roman"/>
          <w:snapToGrid w:val="0"/>
          <w:color w:val="000000"/>
          <w:spacing w:val="2"/>
          <w:kern w:val="0"/>
          <w:sz w:val="24"/>
          <w:szCs w:val="24"/>
          <w:vertAlign w:val="superscript"/>
        </w:rPr>
        <w:t>4</w:t>
      </w:r>
      <w:r>
        <w:rPr>
          <w:rFonts w:ascii="Times New Roman" w:eastAsia="Times New Roman" w:hAnsi="Times New Roman"/>
          <w:snapToGrid w:val="0"/>
          <w:color w:val="000000"/>
          <w:kern w:val="0"/>
          <w:sz w:val="24"/>
          <w:szCs w:val="24"/>
        </w:rPr>
        <w:t>m</w:t>
      </w:r>
      <w:r>
        <w:rPr>
          <w:rFonts w:ascii="Times New Roman" w:hAnsi="Times New Roman"/>
          <w:snapToGrid w:val="0"/>
          <w:color w:val="000000"/>
          <w:kern w:val="0"/>
          <w:sz w:val="24"/>
          <w:szCs w:val="24"/>
          <w:vertAlign w:val="superscript"/>
        </w:rPr>
        <w:t>2</w:t>
      </w:r>
      <w:r>
        <w:rPr>
          <w:rFonts w:ascii="Times New Roman" w:hAnsi="Times New Roman" w:hint="eastAsia"/>
          <w:snapToGrid w:val="0"/>
          <w:color w:val="000000"/>
          <w:kern w:val="0"/>
          <w:sz w:val="24"/>
          <w:szCs w:val="24"/>
        </w:rPr>
        <w:t>。</w:t>
      </w:r>
      <w:r>
        <w:rPr>
          <w:rFonts w:ascii="Times New Roman" w:hAnsi="Times New Roman"/>
          <w:sz w:val="24"/>
        </w:rPr>
        <w:t>吉林省固体废物处理有限责任公司</w:t>
      </w:r>
      <w:r>
        <w:rPr>
          <w:rFonts w:ascii="Times New Roman" w:hAnsi="Times New Roman"/>
          <w:kern w:val="0"/>
          <w:sz w:val="24"/>
          <w:szCs w:val="32"/>
        </w:rPr>
        <w:t>成立于</w:t>
      </w:r>
      <w:r>
        <w:rPr>
          <w:rFonts w:ascii="Times New Roman" w:hAnsi="Times New Roman"/>
          <w:kern w:val="0"/>
          <w:sz w:val="24"/>
          <w:szCs w:val="32"/>
        </w:rPr>
        <w:t>2015</w:t>
      </w:r>
      <w:r>
        <w:rPr>
          <w:rFonts w:ascii="Times New Roman" w:hAnsi="Times New Roman"/>
          <w:kern w:val="0"/>
          <w:sz w:val="24"/>
          <w:szCs w:val="32"/>
        </w:rPr>
        <w:t>年，企业先后投资进行项目建设（项目建设情况见表</w:t>
      </w:r>
      <w:r>
        <w:rPr>
          <w:rFonts w:ascii="Times New Roman" w:hAnsi="Times New Roman"/>
          <w:kern w:val="0"/>
          <w:sz w:val="24"/>
          <w:szCs w:val="32"/>
        </w:rPr>
        <w:t>2-</w:t>
      </w:r>
      <w:r>
        <w:rPr>
          <w:rFonts w:ascii="Times New Roman" w:hAnsi="Times New Roman" w:hint="eastAsia"/>
          <w:kern w:val="0"/>
          <w:sz w:val="24"/>
          <w:szCs w:val="32"/>
        </w:rPr>
        <w:t>2</w:t>
      </w:r>
      <w:r>
        <w:rPr>
          <w:rFonts w:ascii="Times New Roman" w:hAnsi="Times New Roman"/>
          <w:kern w:val="0"/>
          <w:sz w:val="24"/>
          <w:szCs w:val="32"/>
        </w:rPr>
        <w:t>）。</w:t>
      </w:r>
    </w:p>
    <w:p w:rsidR="002E0378" w:rsidRDefault="005C380A">
      <w:pPr>
        <w:adjustRightInd w:val="0"/>
        <w:snapToGrid w:val="0"/>
        <w:spacing w:line="480" w:lineRule="exact"/>
        <w:rPr>
          <w:rFonts w:ascii="Times New Roman" w:hAnsi="Times New Roman"/>
          <w:b/>
          <w:bCs/>
          <w:sz w:val="24"/>
        </w:rPr>
      </w:pPr>
      <w:r>
        <w:rPr>
          <w:rFonts w:ascii="Times New Roman" w:hAnsi="Times New Roman"/>
          <w:b/>
          <w:bCs/>
          <w:sz w:val="24"/>
        </w:rPr>
        <w:t>表</w:t>
      </w:r>
      <w:r>
        <w:rPr>
          <w:rFonts w:ascii="Times New Roman" w:hAnsi="Times New Roman"/>
          <w:b/>
          <w:bCs/>
          <w:sz w:val="24"/>
        </w:rPr>
        <w:t>2-</w:t>
      </w:r>
      <w:r>
        <w:rPr>
          <w:rFonts w:ascii="Times New Roman" w:hAnsi="Times New Roman" w:hint="eastAsia"/>
          <w:b/>
          <w:bCs/>
          <w:sz w:val="24"/>
        </w:rPr>
        <w:t>2</w:t>
      </w:r>
      <w:r>
        <w:rPr>
          <w:rFonts w:ascii="Times New Roman" w:hAnsi="Times New Roman"/>
          <w:b/>
          <w:bCs/>
          <w:sz w:val="24"/>
        </w:rPr>
        <w:t xml:space="preserve">   </w:t>
      </w:r>
      <w:r>
        <w:rPr>
          <w:rFonts w:ascii="Times New Roman" w:hAnsi="Times New Roman"/>
          <w:b/>
          <w:bCs/>
          <w:sz w:val="24"/>
        </w:rPr>
        <w:t>地块利用历史</w:t>
      </w:r>
    </w:p>
    <w:tbl>
      <w:tblPr>
        <w:tblW w:w="8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firstRow="1" w:lastRow="0" w:firstColumn="1" w:lastColumn="0" w:noHBand="0" w:noVBand="1"/>
      </w:tblPr>
      <w:tblGrid>
        <w:gridCol w:w="773"/>
        <w:gridCol w:w="1410"/>
        <w:gridCol w:w="1783"/>
        <w:gridCol w:w="2179"/>
        <w:gridCol w:w="2191"/>
      </w:tblGrid>
      <w:tr w:rsidR="002E0378">
        <w:trPr>
          <w:trHeight w:val="410"/>
          <w:jc w:val="center"/>
        </w:trPr>
        <w:tc>
          <w:tcPr>
            <w:tcW w:w="773" w:type="dxa"/>
            <w:tcBorders>
              <w:tl2br w:val="nil"/>
              <w:tr2bl w:val="nil"/>
            </w:tcBorders>
            <w:vAlign w:val="center"/>
          </w:tcPr>
          <w:p w:rsidR="002E0378" w:rsidRDefault="005C380A">
            <w:pPr>
              <w:tabs>
                <w:tab w:val="left" w:pos="1365"/>
              </w:tabs>
              <w:spacing w:line="280" w:lineRule="exact"/>
              <w:rPr>
                <w:rFonts w:ascii="Times New Roman" w:hAnsi="Times New Roman"/>
              </w:rPr>
            </w:pPr>
            <w:r>
              <w:rPr>
                <w:rFonts w:ascii="Times New Roman" w:hAnsi="Times New Roman"/>
              </w:rPr>
              <w:t>序号</w:t>
            </w:r>
          </w:p>
        </w:tc>
        <w:tc>
          <w:tcPr>
            <w:tcW w:w="1410" w:type="dxa"/>
            <w:tcBorders>
              <w:tl2br w:val="nil"/>
              <w:tr2bl w:val="nil"/>
            </w:tcBorders>
            <w:vAlign w:val="center"/>
          </w:tcPr>
          <w:p w:rsidR="002E0378" w:rsidRDefault="005C380A">
            <w:pPr>
              <w:tabs>
                <w:tab w:val="left" w:pos="1365"/>
              </w:tabs>
              <w:spacing w:line="280" w:lineRule="exact"/>
              <w:rPr>
                <w:rFonts w:ascii="Times New Roman" w:hAnsi="Times New Roman"/>
              </w:rPr>
            </w:pPr>
            <w:r>
              <w:rPr>
                <w:rFonts w:ascii="Times New Roman" w:hAnsi="Times New Roman"/>
              </w:rPr>
              <w:t>起（年）</w:t>
            </w:r>
          </w:p>
        </w:tc>
        <w:tc>
          <w:tcPr>
            <w:tcW w:w="1783" w:type="dxa"/>
            <w:tcBorders>
              <w:tl2br w:val="nil"/>
              <w:tr2bl w:val="nil"/>
            </w:tcBorders>
            <w:vAlign w:val="center"/>
          </w:tcPr>
          <w:p w:rsidR="002E0378" w:rsidRDefault="005C380A">
            <w:pPr>
              <w:tabs>
                <w:tab w:val="left" w:pos="1365"/>
              </w:tabs>
              <w:spacing w:line="280" w:lineRule="exact"/>
              <w:rPr>
                <w:rFonts w:ascii="Times New Roman" w:hAnsi="Times New Roman"/>
              </w:rPr>
            </w:pPr>
            <w:r>
              <w:rPr>
                <w:rFonts w:ascii="Times New Roman" w:hAnsi="Times New Roman"/>
              </w:rPr>
              <w:t>止（年）</w:t>
            </w:r>
          </w:p>
        </w:tc>
        <w:tc>
          <w:tcPr>
            <w:tcW w:w="2179" w:type="dxa"/>
            <w:tcBorders>
              <w:tl2br w:val="nil"/>
              <w:tr2bl w:val="nil"/>
            </w:tcBorders>
            <w:vAlign w:val="center"/>
          </w:tcPr>
          <w:p w:rsidR="002E0378" w:rsidRDefault="005C380A">
            <w:pPr>
              <w:tabs>
                <w:tab w:val="left" w:pos="1365"/>
              </w:tabs>
              <w:spacing w:line="280" w:lineRule="exact"/>
              <w:rPr>
                <w:rFonts w:ascii="Times New Roman" w:hAnsi="Times New Roman"/>
              </w:rPr>
            </w:pPr>
            <w:r>
              <w:rPr>
                <w:rFonts w:ascii="Times New Roman" w:hAnsi="Times New Roman"/>
              </w:rPr>
              <w:t>行业类别</w:t>
            </w:r>
          </w:p>
        </w:tc>
        <w:tc>
          <w:tcPr>
            <w:tcW w:w="2191" w:type="dxa"/>
            <w:tcBorders>
              <w:tl2br w:val="nil"/>
              <w:tr2bl w:val="nil"/>
            </w:tcBorders>
            <w:vAlign w:val="center"/>
          </w:tcPr>
          <w:p w:rsidR="002E0378" w:rsidRDefault="005C380A">
            <w:pPr>
              <w:tabs>
                <w:tab w:val="left" w:pos="1365"/>
              </w:tabs>
              <w:spacing w:line="280" w:lineRule="exact"/>
              <w:rPr>
                <w:rFonts w:ascii="Times New Roman" w:hAnsi="Times New Roman"/>
              </w:rPr>
            </w:pPr>
            <w:r>
              <w:rPr>
                <w:rFonts w:ascii="Times New Roman" w:hAnsi="Times New Roman"/>
              </w:rPr>
              <w:t>主要产品</w:t>
            </w:r>
          </w:p>
        </w:tc>
      </w:tr>
      <w:tr w:rsidR="002E0378">
        <w:trPr>
          <w:trHeight w:val="420"/>
          <w:jc w:val="center"/>
        </w:trPr>
        <w:tc>
          <w:tcPr>
            <w:tcW w:w="773" w:type="dxa"/>
            <w:tcBorders>
              <w:tl2br w:val="nil"/>
              <w:tr2bl w:val="nil"/>
            </w:tcBorders>
            <w:vAlign w:val="center"/>
          </w:tcPr>
          <w:p w:rsidR="002E0378" w:rsidRDefault="005C380A">
            <w:pPr>
              <w:spacing w:line="280" w:lineRule="exact"/>
              <w:rPr>
                <w:rFonts w:ascii="Times New Roman" w:hAnsi="Times New Roman"/>
                <w:kern w:val="0"/>
              </w:rPr>
            </w:pPr>
            <w:r>
              <w:rPr>
                <w:rFonts w:ascii="Times New Roman" w:hAnsi="Times New Roman"/>
                <w:kern w:val="0"/>
              </w:rPr>
              <w:t>1</w:t>
            </w:r>
          </w:p>
        </w:tc>
        <w:tc>
          <w:tcPr>
            <w:tcW w:w="1410" w:type="dxa"/>
            <w:tcBorders>
              <w:tl2br w:val="nil"/>
              <w:tr2bl w:val="nil"/>
            </w:tcBorders>
            <w:vAlign w:val="center"/>
          </w:tcPr>
          <w:p w:rsidR="002E0378" w:rsidRDefault="005C380A">
            <w:pPr>
              <w:spacing w:line="280" w:lineRule="exact"/>
              <w:rPr>
                <w:rFonts w:ascii="Times New Roman" w:hAnsi="Times New Roman"/>
                <w:kern w:val="0"/>
              </w:rPr>
            </w:pPr>
            <w:r>
              <w:rPr>
                <w:rFonts w:ascii="Times New Roman" w:hAnsi="Times New Roman"/>
                <w:spacing w:val="4"/>
              </w:rPr>
              <w:t>2015</w:t>
            </w:r>
          </w:p>
        </w:tc>
        <w:tc>
          <w:tcPr>
            <w:tcW w:w="1783" w:type="dxa"/>
            <w:tcBorders>
              <w:tl2br w:val="nil"/>
              <w:tr2bl w:val="nil"/>
            </w:tcBorders>
            <w:vAlign w:val="center"/>
          </w:tcPr>
          <w:p w:rsidR="002E0378" w:rsidRDefault="005C380A">
            <w:pPr>
              <w:spacing w:line="280" w:lineRule="exact"/>
              <w:rPr>
                <w:rFonts w:ascii="Times New Roman" w:hAnsi="Times New Roman"/>
                <w:kern w:val="0"/>
              </w:rPr>
            </w:pPr>
            <w:r>
              <w:rPr>
                <w:rFonts w:ascii="Times New Roman" w:hAnsi="Times New Roman"/>
                <w:spacing w:val="4"/>
              </w:rPr>
              <w:t>至今</w:t>
            </w:r>
          </w:p>
        </w:tc>
        <w:tc>
          <w:tcPr>
            <w:tcW w:w="2179"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危险废物治理</w:t>
            </w:r>
          </w:p>
        </w:tc>
        <w:tc>
          <w:tcPr>
            <w:tcW w:w="2191"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危险废物填埋及焚烧</w:t>
            </w:r>
          </w:p>
        </w:tc>
      </w:tr>
      <w:tr w:rsidR="002E0378">
        <w:trPr>
          <w:trHeight w:val="420"/>
          <w:jc w:val="center"/>
        </w:trPr>
        <w:tc>
          <w:tcPr>
            <w:tcW w:w="773" w:type="dxa"/>
            <w:tcBorders>
              <w:tl2br w:val="nil"/>
              <w:tr2bl w:val="nil"/>
            </w:tcBorders>
            <w:vAlign w:val="center"/>
          </w:tcPr>
          <w:p w:rsidR="002E0378" w:rsidRDefault="005C380A">
            <w:pPr>
              <w:spacing w:line="280" w:lineRule="exact"/>
              <w:rPr>
                <w:rFonts w:ascii="Times New Roman" w:hAnsi="Times New Roman"/>
                <w:kern w:val="0"/>
              </w:rPr>
            </w:pPr>
            <w:r>
              <w:rPr>
                <w:rFonts w:ascii="Times New Roman" w:hAnsi="Times New Roman"/>
                <w:kern w:val="0"/>
              </w:rPr>
              <w:t>2</w:t>
            </w:r>
          </w:p>
        </w:tc>
        <w:tc>
          <w:tcPr>
            <w:tcW w:w="1410" w:type="dxa"/>
            <w:tcBorders>
              <w:tl2br w:val="nil"/>
              <w:tr2bl w:val="nil"/>
            </w:tcBorders>
            <w:vAlign w:val="center"/>
          </w:tcPr>
          <w:p w:rsidR="002E0378" w:rsidRDefault="005C380A">
            <w:pPr>
              <w:spacing w:line="280" w:lineRule="exact"/>
              <w:rPr>
                <w:rFonts w:ascii="Times New Roman" w:hAnsi="Times New Roman"/>
                <w:spacing w:val="4"/>
              </w:rPr>
            </w:pPr>
            <w:r>
              <w:rPr>
                <w:rFonts w:ascii="Times New Roman" w:hAnsi="Times New Roman"/>
                <w:spacing w:val="4"/>
              </w:rPr>
              <w:t>2008-2015</w:t>
            </w:r>
          </w:p>
        </w:tc>
        <w:tc>
          <w:tcPr>
            <w:tcW w:w="1783" w:type="dxa"/>
            <w:tcBorders>
              <w:tl2br w:val="nil"/>
              <w:tr2bl w:val="nil"/>
            </w:tcBorders>
            <w:vAlign w:val="center"/>
          </w:tcPr>
          <w:p w:rsidR="002E0378" w:rsidRDefault="005C380A">
            <w:pPr>
              <w:spacing w:line="280" w:lineRule="exact"/>
              <w:rPr>
                <w:rFonts w:ascii="Times New Roman" w:hAnsi="Times New Roman"/>
                <w:spacing w:val="4"/>
              </w:rPr>
            </w:pPr>
            <w:r>
              <w:rPr>
                <w:rFonts w:ascii="Times New Roman" w:hAnsi="Times New Roman"/>
                <w:spacing w:val="4"/>
              </w:rPr>
              <w:t>建厂</w:t>
            </w:r>
          </w:p>
        </w:tc>
        <w:tc>
          <w:tcPr>
            <w:tcW w:w="2179"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w:t>
            </w:r>
          </w:p>
        </w:tc>
        <w:tc>
          <w:tcPr>
            <w:tcW w:w="2191"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w:t>
            </w:r>
          </w:p>
        </w:tc>
      </w:tr>
      <w:tr w:rsidR="002E0378">
        <w:trPr>
          <w:trHeight w:val="418"/>
          <w:jc w:val="center"/>
        </w:trPr>
        <w:tc>
          <w:tcPr>
            <w:tcW w:w="773" w:type="dxa"/>
            <w:tcBorders>
              <w:tl2br w:val="nil"/>
              <w:tr2bl w:val="nil"/>
            </w:tcBorders>
            <w:vAlign w:val="center"/>
          </w:tcPr>
          <w:p w:rsidR="002E0378" w:rsidRDefault="005C380A">
            <w:pPr>
              <w:spacing w:line="280" w:lineRule="exact"/>
              <w:rPr>
                <w:rFonts w:ascii="Times New Roman" w:hAnsi="Times New Roman"/>
                <w:kern w:val="0"/>
              </w:rPr>
            </w:pPr>
            <w:r>
              <w:rPr>
                <w:rFonts w:ascii="Times New Roman" w:hAnsi="Times New Roman"/>
                <w:kern w:val="0"/>
              </w:rPr>
              <w:t>3</w:t>
            </w:r>
          </w:p>
        </w:tc>
        <w:tc>
          <w:tcPr>
            <w:tcW w:w="1410" w:type="dxa"/>
            <w:tcBorders>
              <w:tl2br w:val="nil"/>
              <w:tr2bl w:val="nil"/>
            </w:tcBorders>
            <w:vAlign w:val="center"/>
          </w:tcPr>
          <w:p w:rsidR="002E0378" w:rsidRDefault="005C380A">
            <w:pPr>
              <w:spacing w:line="280" w:lineRule="exact"/>
              <w:rPr>
                <w:rFonts w:ascii="Times New Roman" w:hAnsi="Times New Roman"/>
                <w:spacing w:val="4"/>
              </w:rPr>
            </w:pPr>
            <w:r>
              <w:rPr>
                <w:rFonts w:ascii="Times New Roman" w:hAnsi="Times New Roman"/>
                <w:spacing w:val="4"/>
              </w:rPr>
              <w:t>2008</w:t>
            </w:r>
            <w:r>
              <w:rPr>
                <w:rFonts w:ascii="Times New Roman" w:hAnsi="Times New Roman"/>
                <w:spacing w:val="4"/>
              </w:rPr>
              <w:t>年之前</w:t>
            </w:r>
          </w:p>
        </w:tc>
        <w:tc>
          <w:tcPr>
            <w:tcW w:w="1783" w:type="dxa"/>
            <w:tcBorders>
              <w:tl2br w:val="nil"/>
              <w:tr2bl w:val="nil"/>
            </w:tcBorders>
            <w:vAlign w:val="center"/>
          </w:tcPr>
          <w:p w:rsidR="002E0378" w:rsidRDefault="005C380A">
            <w:pPr>
              <w:spacing w:line="280" w:lineRule="exact"/>
              <w:rPr>
                <w:rFonts w:ascii="Times New Roman" w:hAnsi="Times New Roman"/>
                <w:spacing w:val="4"/>
              </w:rPr>
            </w:pPr>
            <w:r>
              <w:rPr>
                <w:rFonts w:ascii="Times New Roman" w:hAnsi="Times New Roman"/>
                <w:spacing w:val="4"/>
              </w:rPr>
              <w:t>荒</w:t>
            </w:r>
            <w:r>
              <w:rPr>
                <w:rFonts w:ascii="Times New Roman" w:hAnsi="Times New Roman"/>
                <w:spacing w:val="3"/>
              </w:rPr>
              <w:t>地</w:t>
            </w:r>
          </w:p>
        </w:tc>
        <w:tc>
          <w:tcPr>
            <w:tcW w:w="2179"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w:t>
            </w:r>
          </w:p>
        </w:tc>
        <w:tc>
          <w:tcPr>
            <w:tcW w:w="2191" w:type="dxa"/>
            <w:tcBorders>
              <w:tl2br w:val="nil"/>
              <w:tr2bl w:val="nil"/>
            </w:tcBorders>
            <w:vAlign w:val="center"/>
          </w:tcPr>
          <w:p w:rsidR="002E0378" w:rsidRDefault="005C380A">
            <w:pPr>
              <w:pStyle w:val="ad"/>
              <w:spacing w:line="280" w:lineRule="exact"/>
              <w:jc w:val="center"/>
              <w:rPr>
                <w:rFonts w:ascii="Times New Roman" w:hAnsi="Times New Roman"/>
                <w:szCs w:val="21"/>
              </w:rPr>
            </w:pPr>
            <w:r>
              <w:rPr>
                <w:rFonts w:ascii="Times New Roman" w:hAnsi="Times New Roman"/>
                <w:szCs w:val="21"/>
              </w:rPr>
              <w:t>/</w:t>
            </w:r>
          </w:p>
        </w:tc>
      </w:tr>
    </w:tbl>
    <w:p w:rsidR="002E0378" w:rsidRDefault="002E0378">
      <w:pPr>
        <w:pStyle w:val="a4"/>
        <w:ind w:firstLine="480"/>
        <w:rPr>
          <w:rFonts w:cs="Times New Roman"/>
          <w:snapToGrid w:val="0"/>
          <w:color w:val="000000"/>
          <w:kern w:val="0"/>
          <w:szCs w:val="24"/>
          <w:lang w:val="en-US"/>
        </w:rPr>
      </w:pPr>
    </w:p>
    <w:p w:rsidR="002E0378" w:rsidRDefault="002E0378">
      <w:pPr>
        <w:pStyle w:val="5"/>
        <w:numPr>
          <w:ilvl w:val="0"/>
          <w:numId w:val="0"/>
        </w:numPr>
        <w:rPr>
          <w:b/>
          <w:bCs/>
        </w:rPr>
      </w:pPr>
    </w:p>
    <w:p w:rsidR="002E0378" w:rsidRDefault="002E0378">
      <w:pPr>
        <w:pStyle w:val="5"/>
        <w:numPr>
          <w:ilvl w:val="0"/>
          <w:numId w:val="0"/>
        </w:numPr>
        <w:rPr>
          <w:b/>
          <w:bCs/>
        </w:rPr>
      </w:pPr>
    </w:p>
    <w:p w:rsidR="002E0378" w:rsidRDefault="002E0378">
      <w:pPr>
        <w:pStyle w:val="5"/>
        <w:numPr>
          <w:ilvl w:val="0"/>
          <w:numId w:val="0"/>
        </w:numPr>
        <w:rPr>
          <w:b/>
          <w:bCs/>
        </w:rPr>
        <w:sectPr w:rsidR="002E0378">
          <w:pgSz w:w="11906" w:h="16838"/>
          <w:pgMar w:top="1440" w:right="1701" w:bottom="1440" w:left="1701" w:header="851" w:footer="992" w:gutter="0"/>
          <w:cols w:space="720"/>
          <w:docGrid w:type="lines" w:linePitch="312"/>
        </w:sectPr>
      </w:pPr>
    </w:p>
    <w:p w:rsidR="002E0378" w:rsidRDefault="005C380A">
      <w:pPr>
        <w:pStyle w:val="5"/>
        <w:numPr>
          <w:ilvl w:val="0"/>
          <w:numId w:val="0"/>
        </w:numPr>
        <w:rPr>
          <w:b/>
          <w:bCs/>
        </w:rPr>
      </w:pPr>
      <w:r>
        <w:rPr>
          <w:noProof/>
          <w:sz w:val="24"/>
        </w:rPr>
        <w:lastRenderedPageBreak/>
        <w:drawing>
          <wp:anchor distT="0" distB="0" distL="114300" distR="114300" simplePos="0" relativeHeight="251667456" behindDoc="0" locked="0" layoutInCell="1" allowOverlap="1">
            <wp:simplePos x="0" y="0"/>
            <wp:positionH relativeFrom="column">
              <wp:posOffset>7692390</wp:posOffset>
            </wp:positionH>
            <wp:positionV relativeFrom="paragraph">
              <wp:posOffset>71755</wp:posOffset>
            </wp:positionV>
            <wp:extent cx="687070" cy="837565"/>
            <wp:effectExtent l="0" t="0" r="0" b="0"/>
            <wp:wrapNone/>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13"/>
                    <a:stretch>
                      <a:fillRect/>
                    </a:stretch>
                  </pic:blipFill>
                  <pic:spPr>
                    <a:xfrm>
                      <a:off x="0" y="0"/>
                      <a:ext cx="962025" cy="1171575"/>
                    </a:xfrm>
                    <a:prstGeom prst="rect">
                      <a:avLst/>
                    </a:prstGeom>
                    <a:solidFill>
                      <a:srgbClr val="FFFFFF"/>
                    </a:solidFill>
                    <a:ln w="9525" cap="flat" cmpd="sng">
                      <a:solidFill>
                        <a:srgbClr val="000000"/>
                      </a:solidFill>
                      <a:prstDash val="solid"/>
                      <a:miter/>
                      <a:headEnd type="none" w="med" len="med"/>
                      <a:tailEnd type="none" w="med" len="med"/>
                    </a:ln>
                    <a:effectLst/>
                  </pic:spPr>
                </pic:pic>
              </a:graphicData>
            </a:graphic>
          </wp:anchor>
        </w:drawing>
      </w:r>
      <w:r>
        <w:rPr>
          <w:noProof/>
        </w:rPr>
        <w:drawing>
          <wp:inline distT="0" distB="0" distL="114300" distR="114300">
            <wp:extent cx="7934960" cy="4807585"/>
            <wp:effectExtent l="0" t="0" r="8890" b="12065"/>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14"/>
                    <a:stretch>
                      <a:fillRect/>
                    </a:stretch>
                  </pic:blipFill>
                  <pic:spPr>
                    <a:xfrm>
                      <a:off x="0" y="0"/>
                      <a:ext cx="7934960" cy="4807585"/>
                    </a:xfrm>
                    <a:prstGeom prst="rect">
                      <a:avLst/>
                    </a:prstGeom>
                    <a:noFill/>
                    <a:ln>
                      <a:noFill/>
                    </a:ln>
                  </pic:spPr>
                </pic:pic>
              </a:graphicData>
            </a:graphic>
          </wp:inline>
        </w:drawing>
      </w:r>
    </w:p>
    <w:p w:rsidR="002E0378" w:rsidRDefault="002E0378">
      <w:pPr>
        <w:pStyle w:val="5"/>
        <w:numPr>
          <w:ilvl w:val="0"/>
          <w:numId w:val="0"/>
        </w:numPr>
        <w:rPr>
          <w:b/>
          <w:bCs/>
        </w:rPr>
      </w:pPr>
    </w:p>
    <w:p w:rsidR="002E0378" w:rsidRDefault="005C380A">
      <w:pPr>
        <w:pStyle w:val="112"/>
        <w:spacing w:line="240" w:lineRule="auto"/>
        <w:ind w:firstLineChars="0" w:firstLine="0"/>
        <w:jc w:val="center"/>
        <w:rPr>
          <w:b/>
          <w:bCs/>
          <w:color w:val="auto"/>
        </w:rPr>
      </w:pPr>
      <w:r>
        <w:rPr>
          <w:rFonts w:hint="eastAsia"/>
          <w:b/>
          <w:bCs/>
          <w:color w:val="auto"/>
          <w:sz w:val="24"/>
        </w:rPr>
        <w:t>图2-1  企业地理位置图</w:t>
      </w:r>
    </w:p>
    <w:p w:rsidR="002E0378" w:rsidRDefault="005C380A">
      <w:pPr>
        <w:pStyle w:val="112"/>
        <w:spacing w:line="240" w:lineRule="auto"/>
        <w:ind w:firstLineChars="0" w:firstLine="0"/>
        <w:sectPr w:rsidR="002E0378">
          <w:pgSz w:w="16838" w:h="11906" w:orient="landscape"/>
          <w:pgMar w:top="1701" w:right="1440" w:bottom="1701" w:left="1440" w:header="851" w:footer="992" w:gutter="0"/>
          <w:cols w:space="720"/>
          <w:docGrid w:type="lines" w:linePitch="312"/>
        </w:sectPr>
      </w:pPr>
      <w:r>
        <w:rPr>
          <w:noProof/>
        </w:rPr>
        <mc:AlternateContent>
          <mc:Choice Requires="wps">
            <w:drawing>
              <wp:anchor distT="0" distB="0" distL="114300" distR="114300" simplePos="0" relativeHeight="251662336" behindDoc="0" locked="0" layoutInCell="1" allowOverlap="1">
                <wp:simplePos x="0" y="0"/>
                <wp:positionH relativeFrom="column">
                  <wp:posOffset>1464945</wp:posOffset>
                </wp:positionH>
                <wp:positionV relativeFrom="paragraph">
                  <wp:posOffset>5367020</wp:posOffset>
                </wp:positionV>
                <wp:extent cx="2533650" cy="352425"/>
                <wp:effectExtent l="0" t="0" r="0" b="0"/>
                <wp:wrapNone/>
                <wp:docPr id="4" name="文本框 715"/>
                <wp:cNvGraphicFramePr/>
                <a:graphic xmlns:a="http://schemas.openxmlformats.org/drawingml/2006/main">
                  <a:graphicData uri="http://schemas.microsoft.com/office/word/2010/wordprocessingShape">
                    <wps:wsp>
                      <wps:cNvSpPr txBox="1"/>
                      <wps:spPr>
                        <a:xfrm>
                          <a:off x="0" y="0"/>
                          <a:ext cx="2533650" cy="352425"/>
                        </a:xfrm>
                        <a:prstGeom prst="rect">
                          <a:avLst/>
                        </a:prstGeom>
                        <a:noFill/>
                        <a:ln>
                          <a:noFill/>
                        </a:ln>
                      </wps:spPr>
                      <wps:txbx>
                        <w:txbxContent>
                          <w:p w:rsidR="002E0378" w:rsidRDefault="005C380A">
                            <w:pPr>
                              <w:rPr>
                                <w:b/>
                                <w:bCs/>
                              </w:rPr>
                            </w:pPr>
                            <w:r>
                              <w:rPr>
                                <w:rFonts w:hint="eastAsia"/>
                                <w:b/>
                                <w:bCs/>
                              </w:rPr>
                              <w:t>图</w:t>
                            </w:r>
                            <w:r>
                              <w:rPr>
                                <w:rFonts w:hint="eastAsia"/>
                                <w:b/>
                                <w:bCs/>
                              </w:rPr>
                              <w:t xml:space="preserve">2-1 </w:t>
                            </w:r>
                            <w:r>
                              <w:rPr>
                                <w:rFonts w:hint="eastAsia"/>
                                <w:b/>
                                <w:bCs/>
                              </w:rPr>
                              <w:t>厂区平面布置图</w:t>
                            </w:r>
                          </w:p>
                        </w:txbxContent>
                      </wps:txbx>
                      <wps:bodyPr wrap="square" upright="1"/>
                    </wps:wsp>
                  </a:graphicData>
                </a:graphic>
              </wp:anchor>
            </w:drawing>
          </mc:Choice>
          <mc:Fallback xmlns:w15="http://schemas.microsoft.com/office/word/2012/wordml" xmlns:wpsCustomData="http://www.wps.cn/officeDocument/2013/wpsCustomData">
            <w:pict>
              <v:shape id="文本框 715" o:spid="_x0000_s1026" o:spt="202" type="#_x0000_t202" style="position:absolute;left:0pt;margin-left:115.35pt;margin-top:422.6pt;height:27.75pt;width:199.5pt;z-index:251662336;mso-width-relative:page;mso-height-relative:page;" filled="f" stroked="f" coordsize="21600,21600" o:gfxdata="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pZiD01wAAAAsBAAAPAAAAAAAAAAEAIAAAACIAAABkcnMvZG93bnJldi54bWxQSwECFAAU&#10;AAAACACHTuJAT7Ll/LkBAABeAwAADgAAAAAAAAABACAAAAAmAQAAZHJzL2Uyb0RvYy54bWxQSwUG&#10;AAAAAAYABgBZAQAAUQUAAAAA&#10;">
                <v:fill on="f" focussize="0,0"/>
                <v:stroke on="f"/>
                <v:imagedata o:title=""/>
                <o:lock v:ext="edit" aspectratio="f"/>
                <v:textbox>
                  <w:txbxContent>
                    <w:p>
                      <w:pPr>
                        <w:rPr>
                          <w:b/>
                          <w:bCs/>
                        </w:rPr>
                      </w:pPr>
                      <w:r>
                        <w:rPr>
                          <w:rFonts w:hint="eastAsia"/>
                          <w:b/>
                          <w:bCs/>
                        </w:rPr>
                        <w:t>图2-1 厂区平面布置图</w:t>
                      </w:r>
                    </w:p>
                  </w:txbxContent>
                </v:textbox>
              </v:shape>
            </w:pict>
          </mc:Fallback>
        </mc:AlternateContent>
      </w:r>
      <w:r>
        <w:rPr>
          <w:noProof/>
          <w:sz w:val="24"/>
        </w:rPr>
        <mc:AlternateContent>
          <mc:Choice Requires="wps">
            <w:drawing>
              <wp:anchor distT="0" distB="0" distL="114300" distR="114300" simplePos="0" relativeHeight="251666432" behindDoc="0" locked="0" layoutInCell="1" allowOverlap="1">
                <wp:simplePos x="0" y="0"/>
                <wp:positionH relativeFrom="column">
                  <wp:posOffset>3883660</wp:posOffset>
                </wp:positionH>
                <wp:positionV relativeFrom="paragraph">
                  <wp:posOffset>4805045</wp:posOffset>
                </wp:positionV>
                <wp:extent cx="190500" cy="190500"/>
                <wp:effectExtent l="0" t="0" r="0" b="0"/>
                <wp:wrapNone/>
                <wp:docPr id="28" name="矩形 865"/>
                <wp:cNvGraphicFramePr/>
                <a:graphic xmlns:a="http://schemas.openxmlformats.org/drawingml/2006/main">
                  <a:graphicData uri="http://schemas.microsoft.com/office/word/2010/wordprocessingShape">
                    <wps:wsp>
                      <wps:cNvSpPr/>
                      <wps:spPr>
                        <a:xfrm>
                          <a:off x="0" y="0"/>
                          <a:ext cx="190500" cy="190500"/>
                        </a:xfrm>
                        <a:prstGeom prst="rect">
                          <a:avLst/>
                        </a:prstGeom>
                        <a:solidFill>
                          <a:srgbClr val="FFFFFF"/>
                        </a:solidFill>
                        <a:ln w="9525" cap="flat" cmpd="sng">
                          <a:solidFill>
                            <a:srgbClr val="FF0000"/>
                          </a:solidFill>
                          <a:prstDash val="solid"/>
                          <a:miter/>
                          <a:headEnd type="none" w="med" len="med"/>
                          <a:tailEnd type="none" w="med" len="med"/>
                        </a:ln>
                      </wps:spPr>
                      <wps:bodyPr wrap="square" upright="1"/>
                    </wps:wsp>
                  </a:graphicData>
                </a:graphic>
              </wp:anchor>
            </w:drawing>
          </mc:Choice>
          <mc:Fallback xmlns:w15="http://schemas.microsoft.com/office/word/2012/wordml" xmlns:wpsCustomData="http://www.wps.cn/officeDocument/2013/wpsCustomData">
            <w:pict>
              <v:rect id="矩形 865" o:spid="_x0000_s1026" o:spt="1" style="position:absolute;left:0pt;margin-left:305.8pt;margin-top:378.35pt;height:15pt;width:15pt;z-index:251666432;mso-width-relative:page;mso-height-relative:page;" fillcolor="#FFFFFF" filled="t" stroked="t" coordsize="21600,21600" o:gfxdata="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J1gEdYAAAALAQAADwAAAAAAAAABACAAAAAiAAAAZHJzL2Rv&#10;d25yZXYueG1sUEsBAhQAFAAAAAgAh07iQNzDlYIDAgAALgQAAA4AAAAAAAAAAQAgAAAAJQEAAGRy&#10;cy9lMm9Eb2MueG1sUEsFBgAAAAAGAAYAWQEAAJoFAAAAAA==&#10;">
                <v:fill on="t" focussize="0,0"/>
                <v:stroke color="#FF0000" joinstyle="miter"/>
                <v:imagedata o:title=""/>
                <o:lock v:ext="edit" aspectratio="f"/>
              </v:rect>
            </w:pict>
          </mc:Fallback>
        </mc:AlternateContent>
      </w:r>
    </w:p>
    <w:p w:rsidR="002E0378" w:rsidRDefault="005C380A">
      <w:pPr>
        <w:pStyle w:val="2"/>
      </w:pPr>
      <w:bookmarkStart w:id="27" w:name="_Toc21529"/>
      <w:bookmarkStart w:id="28" w:name="_Toc22892"/>
      <w:bookmarkEnd w:id="25"/>
      <w:bookmarkEnd w:id="26"/>
      <w:r>
        <w:rPr>
          <w:rFonts w:hint="eastAsia"/>
        </w:rPr>
        <w:lastRenderedPageBreak/>
        <w:t xml:space="preserve">2.3 </w:t>
      </w:r>
      <w:r>
        <w:rPr>
          <w:rFonts w:hint="eastAsia"/>
        </w:rPr>
        <w:t>生产工艺及产排污环节</w:t>
      </w:r>
      <w:bookmarkEnd w:id="27"/>
      <w:bookmarkEnd w:id="28"/>
    </w:p>
    <w:p w:rsidR="002E0378" w:rsidRDefault="002E0378"/>
    <w:p w:rsidR="002E0378" w:rsidRDefault="005C380A">
      <w:pPr>
        <w:pStyle w:val="3"/>
      </w:pPr>
      <w:bookmarkStart w:id="29" w:name="_Toc31229"/>
      <w:r>
        <w:t>2.</w:t>
      </w:r>
      <w:r>
        <w:rPr>
          <w:rFonts w:hint="eastAsia"/>
        </w:rPr>
        <w:t>3</w:t>
      </w:r>
      <w:r>
        <w:t>.1</w:t>
      </w:r>
      <w:r>
        <w:rPr>
          <w:rFonts w:hint="eastAsia"/>
        </w:rPr>
        <w:t xml:space="preserve"> </w:t>
      </w:r>
      <w:bookmarkEnd w:id="29"/>
      <w:r>
        <w:rPr>
          <w:rFonts w:hint="eastAsia"/>
        </w:rPr>
        <w:t>现有投产装置工艺流程</w:t>
      </w:r>
    </w:p>
    <w:p w:rsidR="002E0378" w:rsidRDefault="002E0378"/>
    <w:p w:rsidR="002E0378" w:rsidRDefault="005C380A">
      <w:pPr>
        <w:spacing w:line="480" w:lineRule="exact"/>
        <w:ind w:firstLineChars="196" w:firstLine="470"/>
        <w:jc w:val="left"/>
        <w:rPr>
          <w:rFonts w:ascii="Times New Roman" w:hAnsi="Times New Roman"/>
          <w:sz w:val="24"/>
        </w:rPr>
      </w:pPr>
      <w:r>
        <w:rPr>
          <w:rFonts w:ascii="Times New Roman" w:hAnsi="Times New Roman"/>
          <w:sz w:val="24"/>
        </w:rPr>
        <w:t>由于本企业须处理的危险废物成分复杂、种类繁多、危险性大的特点，需对</w:t>
      </w:r>
      <w:r>
        <w:rPr>
          <w:rFonts w:ascii="Times New Roman" w:hAnsi="Times New Roman"/>
          <w:sz w:val="24"/>
        </w:rPr>
        <w:t xml:space="preserve"> </w:t>
      </w:r>
      <w:r>
        <w:rPr>
          <w:rFonts w:ascii="Times New Roman" w:hAnsi="Times New Roman"/>
          <w:sz w:val="24"/>
        </w:rPr>
        <w:t>各种类型的废物使用不同的处理方法，</w:t>
      </w:r>
      <w:r>
        <w:rPr>
          <w:rFonts w:hint="eastAsia"/>
          <w:sz w:val="24"/>
        </w:rPr>
        <w:t xml:space="preserve"> </w:t>
      </w:r>
      <w:r>
        <w:rPr>
          <w:rFonts w:ascii="Times New Roman" w:hAnsi="Times New Roman"/>
          <w:sz w:val="24"/>
        </w:rPr>
        <w:t>从安全性、技术可行性、经济性的角度出发使危险废物达到无害化、稳定化、减量化和资源化。本项目根据危险废物的分类采用不同的处理方式，总工艺流程见图</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2</w:t>
      </w:r>
      <w:r>
        <w:rPr>
          <w:rFonts w:ascii="Times New Roman" w:hAnsi="Times New Roman"/>
          <w:sz w:val="24"/>
        </w:rPr>
        <w:t>。</w:t>
      </w:r>
    </w:p>
    <w:p w:rsidR="002E0378" w:rsidRDefault="005C380A">
      <w:pPr>
        <w:widowControl w:val="0"/>
        <w:rPr>
          <w:rFonts w:ascii="Times New Roman" w:hAnsi="Times New Roman"/>
        </w:rPr>
      </w:pPr>
      <w:r>
        <w:rPr>
          <w:rFonts w:ascii="Times New Roman" w:hAnsi="Times New Roman"/>
          <w:noProof/>
        </w:rPr>
        <w:drawing>
          <wp:inline distT="0" distB="0" distL="114300" distR="114300">
            <wp:extent cx="5121910" cy="3446145"/>
            <wp:effectExtent l="0" t="0" r="2540" b="1905"/>
            <wp:docPr id="22" name="图片 2"/>
            <wp:cNvGraphicFramePr/>
            <a:graphic xmlns:a="http://schemas.openxmlformats.org/drawingml/2006/main">
              <a:graphicData uri="http://schemas.openxmlformats.org/drawingml/2006/picture">
                <pic:pic xmlns:pic="http://schemas.openxmlformats.org/drawingml/2006/picture">
                  <pic:nvPicPr>
                    <pic:cNvPr id="22" name="图片 2"/>
                    <pic:cNvPicPr/>
                  </pic:nvPicPr>
                  <pic:blipFill>
                    <a:blip r:embed="rId15"/>
                    <a:stretch>
                      <a:fillRect/>
                    </a:stretch>
                  </pic:blipFill>
                  <pic:spPr>
                    <a:xfrm>
                      <a:off x="0" y="0"/>
                      <a:ext cx="5121910" cy="3446145"/>
                    </a:xfrm>
                    <a:prstGeom prst="rect">
                      <a:avLst/>
                    </a:prstGeom>
                    <a:noFill/>
                    <a:ln>
                      <a:noFill/>
                    </a:ln>
                  </pic:spPr>
                </pic:pic>
              </a:graphicData>
            </a:graphic>
          </wp:inline>
        </w:drawing>
      </w:r>
    </w:p>
    <w:p w:rsidR="002E0378" w:rsidRDefault="005C380A">
      <w:pPr>
        <w:rPr>
          <w:rFonts w:ascii="Times New Roman" w:hAnsi="Times New Roman"/>
          <w:b/>
          <w:bCs/>
        </w:rPr>
      </w:pPr>
      <w:r>
        <w:rPr>
          <w:rFonts w:ascii="Times New Roman" w:hAnsi="Times New Roman"/>
          <w:b/>
          <w:bCs/>
        </w:rPr>
        <w:t>图</w:t>
      </w:r>
      <w:r>
        <w:rPr>
          <w:rFonts w:ascii="Times New Roman" w:hAnsi="Times New Roman" w:hint="eastAsia"/>
          <w:b/>
          <w:bCs/>
        </w:rPr>
        <w:t>2</w:t>
      </w:r>
      <w:r>
        <w:rPr>
          <w:rFonts w:ascii="Times New Roman" w:hAnsi="Times New Roman"/>
          <w:b/>
          <w:bCs/>
        </w:rPr>
        <w:t>-</w:t>
      </w:r>
      <w:r>
        <w:rPr>
          <w:rFonts w:ascii="Times New Roman" w:hAnsi="Times New Roman" w:hint="eastAsia"/>
          <w:b/>
          <w:bCs/>
        </w:rPr>
        <w:t>2</w:t>
      </w:r>
      <w:r>
        <w:rPr>
          <w:rFonts w:ascii="Times New Roman" w:hAnsi="Times New Roman"/>
          <w:b/>
          <w:bCs/>
        </w:rPr>
        <w:t xml:space="preserve">  </w:t>
      </w:r>
      <w:r>
        <w:rPr>
          <w:rFonts w:ascii="Times New Roman" w:hAnsi="Times New Roman"/>
          <w:b/>
          <w:bCs/>
        </w:rPr>
        <w:t>总工艺流程图</w:t>
      </w:r>
    </w:p>
    <w:p w:rsidR="002E0378" w:rsidRDefault="005C380A">
      <w:pPr>
        <w:jc w:val="left"/>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稳定化</w:t>
      </w:r>
      <w:r>
        <w:rPr>
          <w:rFonts w:ascii="Times New Roman" w:hAnsi="Times New Roman"/>
          <w:sz w:val="24"/>
          <w:szCs w:val="24"/>
        </w:rPr>
        <w:t>/</w:t>
      </w:r>
      <w:r>
        <w:rPr>
          <w:rFonts w:ascii="Times New Roman" w:hAnsi="Times New Roman"/>
          <w:sz w:val="24"/>
          <w:szCs w:val="24"/>
        </w:rPr>
        <w:t>固化系统</w:t>
      </w:r>
    </w:p>
    <w:p w:rsidR="002E0378" w:rsidRDefault="005C380A">
      <w:pPr>
        <w:spacing w:line="480" w:lineRule="exact"/>
        <w:ind w:firstLineChars="196" w:firstLine="470"/>
        <w:jc w:val="left"/>
        <w:rPr>
          <w:rFonts w:ascii="Times New Roman" w:hAnsi="Times New Roman"/>
          <w:sz w:val="24"/>
        </w:rPr>
      </w:pPr>
      <w:r>
        <w:rPr>
          <w:rFonts w:ascii="Times New Roman" w:hAnsi="Times New Roman"/>
          <w:sz w:val="24"/>
        </w:rPr>
        <w:t>稳定化</w:t>
      </w:r>
      <w:r>
        <w:rPr>
          <w:rFonts w:ascii="Times New Roman" w:hAnsi="Times New Roman"/>
          <w:sz w:val="24"/>
        </w:rPr>
        <w:t>/</w:t>
      </w:r>
      <w:r>
        <w:rPr>
          <w:rFonts w:ascii="Times New Roman" w:hAnsi="Times New Roman"/>
          <w:sz w:val="24"/>
        </w:rPr>
        <w:t>固化车间备有废物来料储坑，废物按不同种类分别储存，储坑结构</w:t>
      </w:r>
      <w:r>
        <w:rPr>
          <w:rFonts w:ascii="Times New Roman" w:hAnsi="Times New Roman"/>
          <w:sz w:val="24"/>
        </w:rPr>
        <w:t xml:space="preserve"> </w:t>
      </w:r>
      <w:r>
        <w:rPr>
          <w:rFonts w:ascii="Times New Roman" w:hAnsi="Times New Roman"/>
          <w:sz w:val="24"/>
        </w:rPr>
        <w:t>为混凝土，主要储存固体型状待处理废物。待处理物料经计量完成后，由计算机</w:t>
      </w:r>
      <w:r>
        <w:rPr>
          <w:rFonts w:ascii="Times New Roman" w:hAnsi="Times New Roman"/>
          <w:sz w:val="24"/>
        </w:rPr>
        <w:t xml:space="preserve"> </w:t>
      </w:r>
      <w:r>
        <w:rPr>
          <w:rFonts w:ascii="Times New Roman" w:hAnsi="Times New Roman"/>
          <w:sz w:val="24"/>
        </w:rPr>
        <w:t>按设定好的程序分别开启水路系统、药剂系统，将已计量后配置好的物料依次投</w:t>
      </w:r>
      <w:r>
        <w:rPr>
          <w:rFonts w:ascii="Times New Roman" w:hAnsi="Times New Roman"/>
          <w:sz w:val="24"/>
        </w:rPr>
        <w:t xml:space="preserve"> </w:t>
      </w:r>
      <w:r>
        <w:rPr>
          <w:rFonts w:ascii="Times New Roman" w:hAnsi="Times New Roman"/>
          <w:sz w:val="24"/>
        </w:rPr>
        <w:t>入搅拌机内进行搅拌，投料顺序依次为固废、飞灰、药剂和水，在搅拌均匀后在</w:t>
      </w:r>
      <w:r>
        <w:rPr>
          <w:rFonts w:ascii="Times New Roman" w:hAnsi="Times New Roman"/>
          <w:sz w:val="24"/>
        </w:rPr>
        <w:t xml:space="preserve"> </w:t>
      </w:r>
      <w:r>
        <w:rPr>
          <w:rFonts w:ascii="Times New Roman" w:hAnsi="Times New Roman"/>
          <w:sz w:val="24"/>
        </w:rPr>
        <w:t>投入水泥，各物料投料顺序及时间均由计算机控制。搅拌好的物料由斜皮带输送</w:t>
      </w:r>
      <w:r>
        <w:rPr>
          <w:rFonts w:ascii="Times New Roman" w:hAnsi="Times New Roman"/>
          <w:sz w:val="24"/>
        </w:rPr>
        <w:t xml:space="preserve"> </w:t>
      </w:r>
      <w:r>
        <w:rPr>
          <w:rFonts w:ascii="Times New Roman" w:hAnsi="Times New Roman"/>
          <w:sz w:val="24"/>
        </w:rPr>
        <w:t>至成型机内成型，然后运至养护车间养护，养护合格的试块，检验合格后即可运</w:t>
      </w:r>
      <w:r>
        <w:rPr>
          <w:rFonts w:ascii="Times New Roman" w:hAnsi="Times New Roman"/>
          <w:sz w:val="24"/>
        </w:rPr>
        <w:t xml:space="preserve"> </w:t>
      </w:r>
      <w:r>
        <w:rPr>
          <w:rFonts w:ascii="Times New Roman" w:hAnsi="Times New Roman"/>
          <w:sz w:val="24"/>
        </w:rPr>
        <w:t>到填埋场安全填埋，不合格的在经颚式破碎机破碎后重新搅拌。稳定化</w:t>
      </w:r>
      <w:r>
        <w:rPr>
          <w:rFonts w:ascii="Times New Roman" w:hAnsi="Times New Roman"/>
          <w:sz w:val="24"/>
        </w:rPr>
        <w:t>/</w:t>
      </w:r>
      <w:r>
        <w:rPr>
          <w:rFonts w:ascii="Times New Roman" w:hAnsi="Times New Roman"/>
          <w:sz w:val="24"/>
        </w:rPr>
        <w:t>固化系</w:t>
      </w:r>
      <w:r>
        <w:rPr>
          <w:rFonts w:ascii="Times New Roman" w:hAnsi="Times New Roman"/>
          <w:sz w:val="24"/>
        </w:rPr>
        <w:t xml:space="preserve"> </w:t>
      </w:r>
      <w:r>
        <w:rPr>
          <w:rFonts w:ascii="Times New Roman" w:hAnsi="Times New Roman"/>
          <w:sz w:val="24"/>
        </w:rPr>
        <w:t>统工艺流程见图</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3</w:t>
      </w:r>
      <w:r>
        <w:rPr>
          <w:rFonts w:ascii="Times New Roman" w:hAnsi="Times New Roman"/>
          <w:sz w:val="24"/>
        </w:rPr>
        <w:t>。</w:t>
      </w:r>
    </w:p>
    <w:p w:rsidR="002E0378" w:rsidRDefault="002E0378">
      <w:pPr>
        <w:rPr>
          <w:rFonts w:ascii="Times New Roman" w:hAnsi="Times New Roman"/>
        </w:rPr>
        <w:sectPr w:rsidR="002E0378">
          <w:footerReference w:type="default" r:id="rId16"/>
          <w:pgSz w:w="11906" w:h="16839"/>
          <w:pgMar w:top="1255" w:right="1785" w:bottom="1168" w:left="1785" w:header="995" w:footer="1008" w:gutter="0"/>
          <w:cols w:space="720"/>
        </w:sectPr>
      </w:pPr>
    </w:p>
    <w:p w:rsidR="002E0378" w:rsidRDefault="005C380A">
      <w:pPr>
        <w:pStyle w:val="20"/>
        <w:ind w:leftChars="0" w:left="0"/>
      </w:pPr>
      <w:r>
        <w:rPr>
          <w:noProof/>
        </w:rPr>
        <w:lastRenderedPageBreak/>
        <w:drawing>
          <wp:anchor distT="0" distB="0" distL="114300" distR="114300" simplePos="0" relativeHeight="251674624" behindDoc="0" locked="0" layoutInCell="1" allowOverlap="1">
            <wp:simplePos x="0" y="0"/>
            <wp:positionH relativeFrom="column">
              <wp:posOffset>59055</wp:posOffset>
            </wp:positionH>
            <wp:positionV relativeFrom="paragraph">
              <wp:posOffset>130175</wp:posOffset>
            </wp:positionV>
            <wp:extent cx="5205095" cy="3599815"/>
            <wp:effectExtent l="0" t="0" r="0" b="635"/>
            <wp:wrapSquare wrapText="bothSides"/>
            <wp:docPr id="26" name="图片 3"/>
            <wp:cNvGraphicFramePr/>
            <a:graphic xmlns:a="http://schemas.openxmlformats.org/drawingml/2006/main">
              <a:graphicData uri="http://schemas.openxmlformats.org/drawingml/2006/picture">
                <pic:pic xmlns:pic="http://schemas.openxmlformats.org/drawingml/2006/picture">
                  <pic:nvPicPr>
                    <pic:cNvPr id="26" name="图片 3"/>
                    <pic:cNvPicPr/>
                  </pic:nvPicPr>
                  <pic:blipFill>
                    <a:blip r:embed="rId17"/>
                    <a:stretch>
                      <a:fillRect/>
                    </a:stretch>
                  </pic:blipFill>
                  <pic:spPr>
                    <a:xfrm>
                      <a:off x="0" y="0"/>
                      <a:ext cx="5205095" cy="3599815"/>
                    </a:xfrm>
                    <a:prstGeom prst="rect">
                      <a:avLst/>
                    </a:prstGeom>
                    <a:noFill/>
                    <a:ln>
                      <a:noFill/>
                    </a:ln>
                  </pic:spPr>
                </pic:pic>
              </a:graphicData>
            </a:graphic>
          </wp:anchor>
        </w:drawing>
      </w:r>
    </w:p>
    <w:p w:rsidR="002E0378" w:rsidRDefault="005C380A">
      <w:pPr>
        <w:rPr>
          <w:rFonts w:ascii="Times New Roman" w:hAnsi="Times New Roman"/>
          <w:b/>
          <w:bCs/>
          <w:sz w:val="24"/>
          <w:szCs w:val="24"/>
        </w:rPr>
      </w:pPr>
      <w:r>
        <w:rPr>
          <w:rFonts w:ascii="Times New Roman" w:hAnsi="Times New Roman"/>
          <w:b/>
          <w:bCs/>
          <w:sz w:val="24"/>
          <w:szCs w:val="24"/>
        </w:rPr>
        <w:t>图</w:t>
      </w:r>
      <w:r>
        <w:rPr>
          <w:rFonts w:ascii="Times New Roman" w:hAnsi="Times New Roman"/>
          <w:b/>
          <w:bCs/>
          <w:sz w:val="24"/>
          <w:szCs w:val="24"/>
        </w:rPr>
        <w:t xml:space="preserve"> </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3</w:t>
      </w:r>
      <w:r>
        <w:rPr>
          <w:rFonts w:ascii="Times New Roman" w:hAnsi="Times New Roman"/>
          <w:b/>
          <w:bCs/>
          <w:sz w:val="24"/>
          <w:szCs w:val="24"/>
        </w:rPr>
        <w:t xml:space="preserve"> </w:t>
      </w:r>
      <w:r>
        <w:rPr>
          <w:rFonts w:ascii="Times New Roman" w:hAnsi="Times New Roman"/>
          <w:b/>
          <w:bCs/>
          <w:sz w:val="24"/>
          <w:szCs w:val="24"/>
        </w:rPr>
        <w:t>稳定化</w:t>
      </w:r>
      <w:r>
        <w:rPr>
          <w:rFonts w:ascii="Times New Roman" w:hAnsi="Times New Roman"/>
          <w:b/>
          <w:bCs/>
          <w:sz w:val="24"/>
          <w:szCs w:val="24"/>
        </w:rPr>
        <w:t>/</w:t>
      </w:r>
      <w:r>
        <w:rPr>
          <w:rFonts w:ascii="Times New Roman" w:hAnsi="Times New Roman"/>
          <w:b/>
          <w:bCs/>
          <w:sz w:val="24"/>
          <w:szCs w:val="24"/>
        </w:rPr>
        <w:t>固化系统工艺流程图</w:t>
      </w:r>
    </w:p>
    <w:p w:rsidR="002E0378" w:rsidRDefault="005C380A">
      <w:pPr>
        <w:jc w:val="left"/>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t>物</w:t>
      </w:r>
      <w:r>
        <w:rPr>
          <w:rFonts w:ascii="Times New Roman" w:hAnsi="Times New Roman"/>
          <w:sz w:val="24"/>
          <w:szCs w:val="24"/>
        </w:rPr>
        <w:t>/</w:t>
      </w:r>
      <w:r>
        <w:rPr>
          <w:rFonts w:ascii="Times New Roman" w:hAnsi="Times New Roman"/>
          <w:sz w:val="24"/>
          <w:szCs w:val="24"/>
        </w:rPr>
        <w:t>化系统</w:t>
      </w:r>
    </w:p>
    <w:p w:rsidR="002E0378" w:rsidRDefault="005C380A">
      <w:pPr>
        <w:spacing w:line="480" w:lineRule="exact"/>
        <w:ind w:firstLineChars="196" w:firstLine="470"/>
        <w:jc w:val="left"/>
        <w:rPr>
          <w:rFonts w:ascii="Times New Roman" w:hAnsi="Times New Roman"/>
          <w:sz w:val="24"/>
        </w:rPr>
      </w:pPr>
      <w:r>
        <w:rPr>
          <w:rFonts w:ascii="Times New Roman" w:hAnsi="Times New Roman"/>
          <w:sz w:val="24"/>
        </w:rPr>
        <w:t>物</w:t>
      </w:r>
      <w:r>
        <w:rPr>
          <w:rFonts w:ascii="Times New Roman" w:hAnsi="Times New Roman"/>
          <w:sz w:val="24"/>
        </w:rPr>
        <w:t>/</w:t>
      </w:r>
      <w:r>
        <w:rPr>
          <w:rFonts w:ascii="Times New Roman" w:hAnsi="Times New Roman"/>
          <w:sz w:val="24"/>
        </w:rPr>
        <w:t>化系统所处理废物主要是：废乳化液、染料、涂料废液、废酸、废碱等危废。废乳化液、染料、涂料废液、废碱、废酸进场后由卸车泵输送至各自储存</w:t>
      </w:r>
      <w:r>
        <w:rPr>
          <w:rFonts w:ascii="Times New Roman" w:hAnsi="Times New Roman"/>
          <w:sz w:val="24"/>
        </w:rPr>
        <w:t xml:space="preserve"> </w:t>
      </w:r>
      <w:r>
        <w:rPr>
          <w:rFonts w:ascii="Times New Roman" w:hAnsi="Times New Roman"/>
          <w:sz w:val="24"/>
        </w:rPr>
        <w:t>罐中储存。废乳化剂及废染料、涂料处理：通过泵将各自储罐中危废输送至搅拌</w:t>
      </w:r>
      <w:r>
        <w:rPr>
          <w:rFonts w:ascii="Times New Roman" w:hAnsi="Times New Roman"/>
          <w:sz w:val="24"/>
        </w:rPr>
        <w:t xml:space="preserve"> </w:t>
      </w:r>
      <w:r>
        <w:rPr>
          <w:rFonts w:ascii="Times New Roman" w:hAnsi="Times New Roman"/>
          <w:sz w:val="24"/>
        </w:rPr>
        <w:t>槽中，废乳化剂加入破乳剂</w:t>
      </w:r>
      <w:r>
        <w:rPr>
          <w:rFonts w:ascii="Times New Roman" w:hAnsi="Times New Roman"/>
          <w:sz w:val="24"/>
        </w:rPr>
        <w:t>—</w:t>
      </w:r>
      <w:r>
        <w:rPr>
          <w:rFonts w:ascii="Times New Roman" w:hAnsi="Times New Roman"/>
          <w:sz w:val="24"/>
        </w:rPr>
        <w:t>碱式氯化铝，破乳后的乳化液进入气浮装置；废染</w:t>
      </w:r>
      <w:r>
        <w:rPr>
          <w:rFonts w:ascii="Times New Roman" w:hAnsi="Times New Roman"/>
          <w:sz w:val="24"/>
        </w:rPr>
        <w:t xml:space="preserve"> </w:t>
      </w:r>
      <w:r>
        <w:rPr>
          <w:rFonts w:ascii="Times New Roman" w:hAnsi="Times New Roman"/>
          <w:sz w:val="24"/>
        </w:rPr>
        <w:t>料、涂料需加入硫酸，反应均匀后泵入气浮装置，浮渣送往焚烧车间，废水则进</w:t>
      </w:r>
      <w:r>
        <w:rPr>
          <w:rFonts w:ascii="Times New Roman" w:hAnsi="Times New Roman"/>
          <w:sz w:val="24"/>
        </w:rPr>
        <w:t xml:space="preserve"> </w:t>
      </w:r>
      <w:r>
        <w:rPr>
          <w:rFonts w:ascii="Times New Roman" w:hAnsi="Times New Roman"/>
          <w:sz w:val="24"/>
        </w:rPr>
        <w:t>入污水处理站。废酸、废碱处理：通过泵将各自储罐中危废输送至反应槽中，废</w:t>
      </w:r>
      <w:r>
        <w:rPr>
          <w:rFonts w:ascii="Times New Roman" w:hAnsi="Times New Roman"/>
          <w:sz w:val="24"/>
        </w:rPr>
        <w:t xml:space="preserve"> </w:t>
      </w:r>
      <w:r>
        <w:rPr>
          <w:rFonts w:ascii="Times New Roman" w:hAnsi="Times New Roman"/>
          <w:sz w:val="24"/>
        </w:rPr>
        <w:t>酸处理需要在空气搅拌槽中加入碱液，投加过程中不停地搅拌，同时通入空气，</w:t>
      </w:r>
    </w:p>
    <w:p w:rsidR="002E0378" w:rsidRDefault="005C380A">
      <w:pPr>
        <w:spacing w:line="480" w:lineRule="exact"/>
        <w:ind w:firstLineChars="196" w:firstLine="470"/>
        <w:jc w:val="left"/>
        <w:rPr>
          <w:rFonts w:ascii="Times New Roman" w:hAnsi="Times New Roman"/>
          <w:sz w:val="24"/>
        </w:rPr>
      </w:pPr>
      <w:r>
        <w:rPr>
          <w:rFonts w:ascii="Times New Roman" w:hAnsi="Times New Roman"/>
          <w:sz w:val="24"/>
        </w:rPr>
        <w:t>反应完全后泵入沉淀槽内进行沉淀；废碱处理需要在反应槽中加入酸，反应完全后泵入沉淀槽内进行沉淀，产生的残渣脱水后送入稳定化</w:t>
      </w:r>
      <w:r>
        <w:rPr>
          <w:rFonts w:ascii="Times New Roman" w:hAnsi="Times New Roman"/>
          <w:sz w:val="24"/>
        </w:rPr>
        <w:t>/</w:t>
      </w:r>
      <w:r>
        <w:rPr>
          <w:rFonts w:ascii="Times New Roman" w:hAnsi="Times New Roman"/>
          <w:sz w:val="24"/>
        </w:rPr>
        <w:t>固化车间进行稳定化</w:t>
      </w:r>
      <w:r>
        <w:rPr>
          <w:rFonts w:ascii="Times New Roman" w:hAnsi="Times New Roman"/>
          <w:sz w:val="24"/>
        </w:rPr>
        <w:t xml:space="preserve">/ </w:t>
      </w:r>
      <w:r>
        <w:rPr>
          <w:rFonts w:ascii="Times New Roman" w:hAnsi="Times New Roman"/>
          <w:sz w:val="24"/>
        </w:rPr>
        <w:t>固化处理，废水则进入污水处理站进行处理。物</w:t>
      </w:r>
      <w:r>
        <w:rPr>
          <w:rFonts w:ascii="Times New Roman" w:hAnsi="Times New Roman"/>
          <w:sz w:val="24"/>
        </w:rPr>
        <w:t>/</w:t>
      </w:r>
      <w:r>
        <w:rPr>
          <w:rFonts w:ascii="Times New Roman" w:hAnsi="Times New Roman"/>
          <w:sz w:val="24"/>
        </w:rPr>
        <w:t>化系统工艺流程见图</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4</w:t>
      </w:r>
      <w:r>
        <w:rPr>
          <w:rFonts w:ascii="Times New Roman" w:hAnsi="Times New Roman"/>
          <w:sz w:val="24"/>
        </w:rPr>
        <w:t>。</w:t>
      </w:r>
    </w:p>
    <w:p w:rsidR="002E0378" w:rsidRDefault="005C380A">
      <w:pPr>
        <w:widowControl w:val="0"/>
        <w:rPr>
          <w:rFonts w:ascii="Times New Roman" w:hAnsi="Times New Roman"/>
          <w:sz w:val="24"/>
        </w:rPr>
      </w:pPr>
      <w:r>
        <w:rPr>
          <w:rFonts w:ascii="Times New Roman" w:hAnsi="Times New Roman"/>
          <w:noProof/>
        </w:rPr>
        <w:lastRenderedPageBreak/>
        <w:drawing>
          <wp:inline distT="0" distB="0" distL="114300" distR="114300">
            <wp:extent cx="5269865" cy="2858770"/>
            <wp:effectExtent l="0" t="0" r="6985" b="1778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8"/>
                    <a:stretch>
                      <a:fillRect/>
                    </a:stretch>
                  </pic:blipFill>
                  <pic:spPr>
                    <a:xfrm>
                      <a:off x="0" y="0"/>
                      <a:ext cx="5269865" cy="2858770"/>
                    </a:xfrm>
                    <a:prstGeom prst="rect">
                      <a:avLst/>
                    </a:prstGeom>
                    <a:noFill/>
                    <a:ln>
                      <a:noFill/>
                    </a:ln>
                  </pic:spPr>
                </pic:pic>
              </a:graphicData>
            </a:graphic>
          </wp:inline>
        </w:drawing>
      </w:r>
    </w:p>
    <w:p w:rsidR="002E0378" w:rsidRDefault="005C380A">
      <w:pPr>
        <w:rPr>
          <w:rFonts w:ascii="Times New Roman" w:hAnsi="Times New Roman"/>
          <w:b/>
          <w:sz w:val="24"/>
        </w:rPr>
      </w:pPr>
      <w:r>
        <w:rPr>
          <w:rFonts w:ascii="Times New Roman" w:hAnsi="Times New Roman"/>
          <w:b/>
          <w:sz w:val="24"/>
        </w:rPr>
        <w:t>图</w:t>
      </w:r>
      <w:r>
        <w:rPr>
          <w:rFonts w:ascii="Times New Roman" w:hAnsi="Times New Roman" w:hint="eastAsia"/>
          <w:b/>
          <w:sz w:val="24"/>
        </w:rPr>
        <w:t>2</w:t>
      </w:r>
      <w:r>
        <w:rPr>
          <w:rFonts w:ascii="Times New Roman" w:hAnsi="Times New Roman"/>
          <w:b/>
          <w:sz w:val="24"/>
        </w:rPr>
        <w:t>-</w:t>
      </w:r>
      <w:r>
        <w:rPr>
          <w:rFonts w:ascii="Times New Roman" w:hAnsi="Times New Roman" w:hint="eastAsia"/>
          <w:b/>
          <w:sz w:val="24"/>
        </w:rPr>
        <w:t>5</w:t>
      </w:r>
      <w:r>
        <w:rPr>
          <w:rFonts w:ascii="Times New Roman" w:hAnsi="Times New Roman"/>
          <w:b/>
          <w:sz w:val="24"/>
        </w:rPr>
        <w:t xml:space="preserve">  </w:t>
      </w:r>
      <w:r>
        <w:rPr>
          <w:rFonts w:ascii="Times New Roman" w:hAnsi="Times New Roman"/>
          <w:b/>
          <w:sz w:val="24"/>
        </w:rPr>
        <w:t>物</w:t>
      </w:r>
      <w:r>
        <w:rPr>
          <w:rFonts w:ascii="Times New Roman" w:hAnsi="Times New Roman"/>
          <w:b/>
          <w:sz w:val="24"/>
        </w:rPr>
        <w:t>/</w:t>
      </w:r>
      <w:r>
        <w:rPr>
          <w:rFonts w:ascii="Times New Roman" w:hAnsi="Times New Roman"/>
          <w:b/>
          <w:sz w:val="24"/>
        </w:rPr>
        <w:t>化系统工艺流程图</w:t>
      </w:r>
    </w:p>
    <w:p w:rsidR="002E0378" w:rsidRDefault="005C380A">
      <w:pPr>
        <w:jc w:val="left"/>
        <w:rPr>
          <w:rFonts w:ascii="Times New Roman" w:hAnsi="Times New Roman"/>
          <w:sz w:val="24"/>
          <w:szCs w:val="24"/>
        </w:rPr>
      </w:pPr>
      <w:r>
        <w:rPr>
          <w:rFonts w:ascii="Times New Roman" w:hAnsi="Times New Roman"/>
          <w:sz w:val="24"/>
          <w:szCs w:val="24"/>
        </w:rPr>
        <w:t xml:space="preserve">(3) </w:t>
      </w:r>
      <w:r>
        <w:rPr>
          <w:rFonts w:ascii="Times New Roman" w:hAnsi="Times New Roman"/>
          <w:sz w:val="24"/>
          <w:szCs w:val="24"/>
        </w:rPr>
        <w:t>焚烧系统</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现有</w:t>
      </w:r>
      <w:r>
        <w:rPr>
          <w:rFonts w:ascii="Times New Roman" w:hAnsi="Times New Roman"/>
          <w:sz w:val="24"/>
          <w:szCs w:val="24"/>
        </w:rPr>
        <w:t xml:space="preserve"> 30t/d </w:t>
      </w:r>
      <w:r>
        <w:rPr>
          <w:rFonts w:ascii="Times New Roman" w:hAnsi="Times New Roman"/>
          <w:sz w:val="24"/>
          <w:szCs w:val="24"/>
        </w:rPr>
        <w:t>的危险废物焚烧系统和</w:t>
      </w:r>
      <w:r>
        <w:rPr>
          <w:rFonts w:ascii="Times New Roman" w:hAnsi="Times New Roman"/>
          <w:sz w:val="24"/>
          <w:szCs w:val="24"/>
        </w:rPr>
        <w:t xml:space="preserve"> 70t/d </w:t>
      </w:r>
      <w:r>
        <w:rPr>
          <w:rFonts w:ascii="Times New Roman" w:hAnsi="Times New Roman"/>
          <w:sz w:val="24"/>
          <w:szCs w:val="24"/>
        </w:rPr>
        <w:t>的危险废物焚烧系统均采用回转窑焚烧工艺，处理热值较高或毒性较大的工业危险废物和医疗废物。工业废物是以固态、液态废物为主，主要是热值较高和毒性较大的废有机溶剂、医药废物、废矿物油、精</w:t>
      </w:r>
      <w:r>
        <w:rPr>
          <w:rFonts w:ascii="Times New Roman" w:hAnsi="Times New Roman"/>
          <w:sz w:val="24"/>
          <w:szCs w:val="24"/>
        </w:rPr>
        <w:t xml:space="preserve"> (</w:t>
      </w:r>
      <w:r>
        <w:rPr>
          <w:rFonts w:ascii="Times New Roman" w:hAnsi="Times New Roman"/>
          <w:sz w:val="24"/>
          <w:szCs w:val="24"/>
        </w:rPr>
        <w:t>蒸</w:t>
      </w:r>
      <w:r>
        <w:rPr>
          <w:rFonts w:ascii="Times New Roman" w:hAnsi="Times New Roman"/>
          <w:sz w:val="24"/>
          <w:szCs w:val="24"/>
        </w:rPr>
        <w:t xml:space="preserve">) </w:t>
      </w:r>
      <w:r>
        <w:rPr>
          <w:rFonts w:ascii="Times New Roman" w:hAnsi="Times New Roman"/>
          <w:sz w:val="24"/>
          <w:szCs w:val="24"/>
        </w:rPr>
        <w:t>馏残渣、农药废物、废漆渣、含氰废物等。焚烧烟气处理采用半干法和干法相结合的工艺，即净化系统由余热锅炉、急冷塔、消石灰和活性炭喷入装置、布袋除尘器、脱酸塔、烟囱、烟气在线检测装置等组成，完成烟气的冷却、脱酸、吸附二噁英和除尘。</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固体废物在入厂后，分检中心优先对进场废物进行分析化验</w:t>
      </w:r>
      <w:r>
        <w:rPr>
          <w:rFonts w:ascii="Times New Roman" w:hAnsi="Times New Roman"/>
          <w:sz w:val="24"/>
          <w:szCs w:val="24"/>
        </w:rPr>
        <w:t xml:space="preserve"> (</w:t>
      </w:r>
      <w:r>
        <w:rPr>
          <w:rFonts w:ascii="Times New Roman" w:hAnsi="Times New Roman"/>
          <w:sz w:val="24"/>
          <w:szCs w:val="24"/>
        </w:rPr>
        <w:t>医疗垃圾除外</w:t>
      </w:r>
      <w:r>
        <w:rPr>
          <w:rFonts w:ascii="Times New Roman" w:hAnsi="Times New Roman"/>
          <w:sz w:val="24"/>
          <w:szCs w:val="24"/>
        </w:rPr>
        <w:t xml:space="preserve">) </w:t>
      </w:r>
      <w:r>
        <w:rPr>
          <w:rFonts w:ascii="Times New Roman" w:hAnsi="Times New Roman"/>
          <w:sz w:val="24"/>
          <w:szCs w:val="24"/>
        </w:rPr>
        <w:t>，经过分析化验后，出具物料配伍单，经物料配伍后送至焚烧车间料坑。医疗垃圾不需分析检验，直接运送至焚烧车间冷库，医废转运车卸料完成后进入洗涤消毒车间，对医废转运车及医疗转运箱进行消毒冲洗。焚烧系统工艺流程见图</w:t>
      </w:r>
      <w:r>
        <w:rPr>
          <w:rFonts w:ascii="Times New Roman" w:hAnsi="Times New Roman" w:hint="eastAsia"/>
          <w:sz w:val="24"/>
          <w:szCs w:val="24"/>
        </w:rPr>
        <w:t>2</w:t>
      </w:r>
      <w:r>
        <w:rPr>
          <w:rFonts w:ascii="Times New Roman" w:hAnsi="Times New Roman"/>
          <w:sz w:val="24"/>
          <w:szCs w:val="24"/>
        </w:rPr>
        <w:t>-</w:t>
      </w:r>
      <w:r>
        <w:rPr>
          <w:rFonts w:ascii="Times New Roman" w:hAnsi="Times New Roman" w:hint="eastAsia"/>
          <w:sz w:val="24"/>
          <w:szCs w:val="24"/>
        </w:rPr>
        <w:t>6</w:t>
      </w:r>
      <w:r>
        <w:rPr>
          <w:rFonts w:ascii="Times New Roman" w:hAnsi="Times New Roman"/>
          <w:sz w:val="24"/>
          <w:szCs w:val="24"/>
        </w:rPr>
        <w:t>。</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焚烧系统污染物排放情况：</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废气：焚烧系统废气主要包括危废暂存、预处理，焚烧炉焚烧过程等产生的废气，其中危废暂存库产生的废气</w:t>
      </w:r>
      <w:r>
        <w:rPr>
          <w:rFonts w:ascii="Times New Roman" w:hAnsi="Times New Roman"/>
          <w:sz w:val="24"/>
          <w:szCs w:val="24"/>
        </w:rPr>
        <w:t xml:space="preserve"> (G2) </w:t>
      </w:r>
      <w:r>
        <w:rPr>
          <w:rFonts w:ascii="Times New Roman" w:hAnsi="Times New Roman"/>
          <w:sz w:val="24"/>
          <w:szCs w:val="24"/>
        </w:rPr>
        <w:t>负压收集，经活性炭处理后外排、破碎以及配伍预处理工段产生的废气</w:t>
      </w:r>
      <w:r>
        <w:rPr>
          <w:rFonts w:ascii="Times New Roman" w:hAnsi="Times New Roman"/>
          <w:sz w:val="24"/>
          <w:szCs w:val="24"/>
        </w:rPr>
        <w:t xml:space="preserve"> (G1) </w:t>
      </w:r>
      <w:r>
        <w:rPr>
          <w:rFonts w:ascii="Times New Roman" w:hAnsi="Times New Roman"/>
          <w:sz w:val="24"/>
          <w:szCs w:val="24"/>
        </w:rPr>
        <w:t>经车间收集装置收集后引至焚烧炉进行焚烧处理；焚烧炉焚烧危险废物以及废气后产生焚烧烟气</w:t>
      </w:r>
      <w:r>
        <w:rPr>
          <w:rFonts w:ascii="Times New Roman" w:hAnsi="Times New Roman"/>
          <w:sz w:val="24"/>
          <w:szCs w:val="24"/>
        </w:rPr>
        <w:t xml:space="preserve"> (G3) </w:t>
      </w:r>
      <w:r>
        <w:rPr>
          <w:rFonts w:ascii="Times New Roman" w:hAnsi="Times New Roman"/>
          <w:sz w:val="24"/>
          <w:szCs w:val="24"/>
        </w:rPr>
        <w:t>，经</w:t>
      </w:r>
      <w:r>
        <w:rPr>
          <w:rFonts w:ascii="Times New Roman" w:hAnsi="Times New Roman"/>
          <w:sz w:val="24"/>
          <w:szCs w:val="24"/>
        </w:rPr>
        <w:t xml:space="preserve"> SNCR </w:t>
      </w:r>
      <w:r>
        <w:rPr>
          <w:rFonts w:ascii="Times New Roman" w:hAnsi="Times New Roman"/>
          <w:sz w:val="24"/>
          <w:szCs w:val="24"/>
        </w:rPr>
        <w:t>脱硝</w:t>
      </w:r>
      <w:r>
        <w:rPr>
          <w:rFonts w:ascii="Times New Roman" w:hAnsi="Times New Roman"/>
          <w:sz w:val="24"/>
          <w:szCs w:val="24"/>
        </w:rPr>
        <w:t>--</w:t>
      </w:r>
      <w:r>
        <w:rPr>
          <w:rFonts w:ascii="Times New Roman" w:hAnsi="Times New Roman"/>
          <w:sz w:val="24"/>
          <w:szCs w:val="24"/>
        </w:rPr>
        <w:t>急冷</w:t>
      </w:r>
      <w:r>
        <w:rPr>
          <w:rFonts w:ascii="Times New Roman" w:hAnsi="Times New Roman"/>
          <w:sz w:val="24"/>
          <w:szCs w:val="24"/>
        </w:rPr>
        <w:t xml:space="preserve">-- </w:t>
      </w:r>
      <w:r>
        <w:rPr>
          <w:rFonts w:ascii="Times New Roman" w:hAnsi="Times New Roman"/>
          <w:sz w:val="24"/>
          <w:szCs w:val="24"/>
        </w:rPr>
        <w:t>中和</w:t>
      </w:r>
      <w:r>
        <w:rPr>
          <w:rFonts w:ascii="Times New Roman" w:hAnsi="Times New Roman"/>
          <w:sz w:val="24"/>
          <w:szCs w:val="24"/>
        </w:rPr>
        <w:lastRenderedPageBreak/>
        <w:t>--</w:t>
      </w:r>
      <w:r>
        <w:rPr>
          <w:rFonts w:ascii="Times New Roman" w:hAnsi="Times New Roman"/>
          <w:sz w:val="24"/>
          <w:szCs w:val="24"/>
        </w:rPr>
        <w:t>布袋除尘</w:t>
      </w:r>
      <w:r>
        <w:rPr>
          <w:rFonts w:ascii="Times New Roman" w:hAnsi="Times New Roman"/>
          <w:sz w:val="24"/>
          <w:szCs w:val="24"/>
        </w:rPr>
        <w:t>--</w:t>
      </w:r>
      <w:r>
        <w:rPr>
          <w:rFonts w:ascii="Times New Roman" w:hAnsi="Times New Roman"/>
          <w:sz w:val="24"/>
          <w:szCs w:val="24"/>
        </w:rPr>
        <w:t>碱喷淋处理后由</w:t>
      </w:r>
      <w:r>
        <w:rPr>
          <w:rFonts w:ascii="Times New Roman" w:hAnsi="Times New Roman"/>
          <w:sz w:val="24"/>
          <w:szCs w:val="24"/>
        </w:rPr>
        <w:t xml:space="preserve"> 50m </w:t>
      </w:r>
      <w:r>
        <w:rPr>
          <w:rFonts w:ascii="Times New Roman" w:hAnsi="Times New Roman"/>
          <w:sz w:val="24"/>
          <w:szCs w:val="24"/>
        </w:rPr>
        <w:t>高排气筒排放。</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废水：焚烧系统产生的废水包括软水制备产生的反冲洗废水</w:t>
      </w:r>
      <w:r>
        <w:rPr>
          <w:rFonts w:ascii="Times New Roman" w:hAnsi="Times New Roman"/>
          <w:sz w:val="24"/>
          <w:szCs w:val="24"/>
        </w:rPr>
        <w:t xml:space="preserve"> (W1) </w:t>
      </w:r>
      <w:r>
        <w:rPr>
          <w:rFonts w:ascii="Times New Roman" w:hAnsi="Times New Roman"/>
          <w:sz w:val="24"/>
          <w:szCs w:val="24"/>
        </w:rPr>
        <w:t>、余热锅炉定期排污水</w:t>
      </w:r>
      <w:r>
        <w:rPr>
          <w:rFonts w:ascii="Times New Roman" w:hAnsi="Times New Roman"/>
          <w:sz w:val="24"/>
          <w:szCs w:val="24"/>
        </w:rPr>
        <w:t xml:space="preserve"> (W2) </w:t>
      </w:r>
      <w:r>
        <w:rPr>
          <w:rFonts w:ascii="Times New Roman" w:hAnsi="Times New Roman"/>
          <w:sz w:val="24"/>
          <w:szCs w:val="24"/>
        </w:rPr>
        <w:t>以及烟气处理过程中喷淋产生的喷淋废液</w:t>
      </w:r>
      <w:r>
        <w:rPr>
          <w:rFonts w:ascii="Times New Roman" w:hAnsi="Times New Roman"/>
          <w:sz w:val="24"/>
          <w:szCs w:val="24"/>
        </w:rPr>
        <w:t xml:space="preserve"> (W3) </w:t>
      </w:r>
      <w:r>
        <w:rPr>
          <w:rFonts w:ascii="Times New Roman" w:hAnsi="Times New Roman"/>
          <w:sz w:val="24"/>
          <w:szCs w:val="24"/>
        </w:rPr>
        <w:t>，进入厂区污水站进行处理；</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固体废物：焚烧系统产生的固体废物包括回转窑、二燃室产生的焚烧炉渣</w:t>
      </w:r>
      <w:r>
        <w:rPr>
          <w:rFonts w:ascii="Times New Roman" w:hAnsi="Times New Roman"/>
          <w:sz w:val="24"/>
          <w:szCs w:val="24"/>
        </w:rPr>
        <w:t xml:space="preserve">(S1) </w:t>
      </w:r>
      <w:r>
        <w:rPr>
          <w:rFonts w:ascii="Times New Roman" w:hAnsi="Times New Roman"/>
          <w:sz w:val="24"/>
          <w:szCs w:val="24"/>
        </w:rPr>
        <w:t>，余热锅炉、急冷塔产生的焚烧飞灰</w:t>
      </w:r>
      <w:r>
        <w:rPr>
          <w:rFonts w:ascii="Times New Roman" w:hAnsi="Times New Roman"/>
          <w:sz w:val="24"/>
          <w:szCs w:val="24"/>
        </w:rPr>
        <w:t xml:space="preserve"> (S2) </w:t>
      </w:r>
      <w:r>
        <w:rPr>
          <w:rFonts w:ascii="Times New Roman" w:hAnsi="Times New Roman"/>
          <w:sz w:val="24"/>
          <w:szCs w:val="24"/>
        </w:rPr>
        <w:t>、除尘器除尘灰</w:t>
      </w:r>
      <w:r>
        <w:rPr>
          <w:rFonts w:ascii="Times New Roman" w:hAnsi="Times New Roman"/>
          <w:sz w:val="24"/>
          <w:szCs w:val="24"/>
        </w:rPr>
        <w:t xml:space="preserve"> (S3) </w:t>
      </w:r>
      <w:r>
        <w:rPr>
          <w:rFonts w:ascii="Times New Roman" w:hAnsi="Times New Roman"/>
          <w:sz w:val="24"/>
          <w:szCs w:val="24"/>
        </w:rPr>
        <w:t>以及喷淋塔产生的沉渣</w:t>
      </w:r>
      <w:r>
        <w:rPr>
          <w:rFonts w:ascii="Times New Roman" w:hAnsi="Times New Roman"/>
          <w:sz w:val="24"/>
          <w:szCs w:val="24"/>
        </w:rPr>
        <w:t xml:space="preserve"> (S4) </w:t>
      </w:r>
      <w:r>
        <w:rPr>
          <w:rFonts w:ascii="Times New Roman" w:hAnsi="Times New Roman"/>
          <w:sz w:val="24"/>
          <w:szCs w:val="24"/>
        </w:rPr>
        <w:t>，另外还包括软水系统产生废树脂</w:t>
      </w:r>
      <w:r>
        <w:rPr>
          <w:rFonts w:ascii="Times New Roman" w:hAnsi="Times New Roman"/>
          <w:sz w:val="24"/>
          <w:szCs w:val="24"/>
        </w:rPr>
        <w:t xml:space="preserve"> (S5) </w:t>
      </w:r>
      <w:r>
        <w:rPr>
          <w:rFonts w:ascii="Times New Roman" w:hAnsi="Times New Roman"/>
          <w:sz w:val="24"/>
          <w:szCs w:val="24"/>
        </w:rPr>
        <w:t>以及废气处理产生的废活性炭。工艺流程见图</w:t>
      </w:r>
      <w:r>
        <w:rPr>
          <w:rFonts w:ascii="Times New Roman" w:hAnsi="Times New Roman" w:hint="eastAsia"/>
          <w:sz w:val="24"/>
          <w:szCs w:val="24"/>
        </w:rPr>
        <w:t>2</w:t>
      </w:r>
      <w:r>
        <w:rPr>
          <w:rFonts w:ascii="Times New Roman" w:hAnsi="Times New Roman"/>
          <w:sz w:val="24"/>
          <w:szCs w:val="24"/>
        </w:rPr>
        <w:t>-</w:t>
      </w:r>
      <w:r>
        <w:rPr>
          <w:rFonts w:ascii="Times New Roman" w:hAnsi="Times New Roman" w:hint="eastAsia"/>
          <w:sz w:val="24"/>
          <w:szCs w:val="24"/>
        </w:rPr>
        <w:t>5</w:t>
      </w:r>
      <w:r>
        <w:rPr>
          <w:rFonts w:ascii="Times New Roman" w:hAnsi="Times New Roman"/>
          <w:sz w:val="24"/>
          <w:szCs w:val="24"/>
        </w:rPr>
        <w:t>。</w:t>
      </w:r>
    </w:p>
    <w:p w:rsidR="002E0378" w:rsidRDefault="005C380A">
      <w:r>
        <w:rPr>
          <w:noProof/>
        </w:rPr>
        <w:drawing>
          <wp:inline distT="0" distB="0" distL="114300" distR="114300">
            <wp:extent cx="4428490" cy="6051550"/>
            <wp:effectExtent l="0" t="0" r="10160" b="635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9"/>
                    <a:stretch>
                      <a:fillRect/>
                    </a:stretch>
                  </pic:blipFill>
                  <pic:spPr>
                    <a:xfrm>
                      <a:off x="0" y="0"/>
                      <a:ext cx="4428490" cy="6051550"/>
                    </a:xfrm>
                    <a:prstGeom prst="rect">
                      <a:avLst/>
                    </a:prstGeom>
                    <a:noFill/>
                    <a:ln>
                      <a:noFill/>
                    </a:ln>
                  </pic:spPr>
                </pic:pic>
              </a:graphicData>
            </a:graphic>
          </wp:inline>
        </w:drawing>
      </w:r>
    </w:p>
    <w:p w:rsidR="002E0378" w:rsidRDefault="005C380A">
      <w:pPr>
        <w:rPr>
          <w:rFonts w:ascii="Times New Roman" w:hAnsi="Times New Roman"/>
          <w:b/>
          <w:bCs/>
          <w:sz w:val="24"/>
          <w:szCs w:val="24"/>
        </w:rPr>
      </w:pPr>
      <w:r>
        <w:rPr>
          <w:rFonts w:ascii="Times New Roman" w:hAnsi="Times New Roman"/>
          <w:b/>
          <w:bCs/>
          <w:sz w:val="24"/>
          <w:szCs w:val="24"/>
        </w:rPr>
        <w:t>图</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5</w:t>
      </w:r>
      <w:r>
        <w:rPr>
          <w:rFonts w:ascii="Times New Roman" w:hAnsi="Times New Roman"/>
          <w:b/>
          <w:bCs/>
          <w:sz w:val="24"/>
          <w:szCs w:val="24"/>
        </w:rPr>
        <w:t xml:space="preserve"> </w:t>
      </w:r>
      <w:r>
        <w:rPr>
          <w:rFonts w:ascii="Times New Roman" w:hAnsi="Times New Roman"/>
          <w:b/>
          <w:bCs/>
          <w:sz w:val="24"/>
          <w:szCs w:val="24"/>
        </w:rPr>
        <w:t>焚烧处理系统工艺流程及产排污节点图</w:t>
      </w:r>
    </w:p>
    <w:p w:rsidR="002E0378" w:rsidRDefault="005C380A">
      <w:pPr>
        <w:spacing w:line="360" w:lineRule="auto"/>
        <w:jc w:val="left"/>
        <w:rPr>
          <w:rFonts w:ascii="Times New Roman" w:hAnsi="Times New Roman"/>
          <w:sz w:val="24"/>
          <w:szCs w:val="24"/>
        </w:rPr>
      </w:pPr>
      <w:r>
        <w:rPr>
          <w:rFonts w:ascii="Times New Roman" w:hAnsi="Times New Roman"/>
          <w:sz w:val="24"/>
          <w:szCs w:val="24"/>
        </w:rPr>
        <w:t xml:space="preserve">(4) </w:t>
      </w:r>
      <w:r>
        <w:rPr>
          <w:rFonts w:ascii="Times New Roman" w:hAnsi="Times New Roman"/>
          <w:sz w:val="24"/>
          <w:szCs w:val="24"/>
        </w:rPr>
        <w:t>危险废物填埋场</w:t>
      </w:r>
    </w:p>
    <w:p w:rsidR="002E0378" w:rsidRDefault="005C380A">
      <w:pPr>
        <w:spacing w:line="360" w:lineRule="auto"/>
        <w:ind w:firstLineChars="200" w:firstLine="480"/>
        <w:jc w:val="left"/>
        <w:rPr>
          <w:rFonts w:ascii="Times New Roman" w:hAnsi="Times New Roman"/>
          <w:sz w:val="24"/>
          <w:szCs w:val="24"/>
        </w:rPr>
      </w:pPr>
      <w:r>
        <w:rPr>
          <w:rFonts w:ascii="Times New Roman" w:hAnsi="Times New Roman"/>
          <w:sz w:val="24"/>
          <w:szCs w:val="24"/>
        </w:rPr>
        <w:t>危险废物填埋场一期工程库容</w:t>
      </w:r>
      <w:r>
        <w:rPr>
          <w:rFonts w:ascii="Times New Roman" w:hAnsi="Times New Roman"/>
          <w:sz w:val="24"/>
          <w:szCs w:val="24"/>
        </w:rPr>
        <w:t>18.5</w:t>
      </w:r>
      <w:r>
        <w:rPr>
          <w:rFonts w:ascii="Times New Roman" w:hAnsi="Times New Roman"/>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2015</w:t>
      </w:r>
      <w:r>
        <w:rPr>
          <w:rFonts w:ascii="Times New Roman" w:hAnsi="Times New Roman"/>
          <w:sz w:val="24"/>
          <w:szCs w:val="24"/>
        </w:rPr>
        <w:t>年末正式投入运营；二期库容</w:t>
      </w:r>
      <w:r>
        <w:rPr>
          <w:rFonts w:ascii="Times New Roman" w:hAnsi="Times New Roman"/>
          <w:sz w:val="24"/>
          <w:szCs w:val="24"/>
        </w:rPr>
        <w:t>85.8</w:t>
      </w:r>
      <w:r>
        <w:rPr>
          <w:rFonts w:ascii="Times New Roman" w:hAnsi="Times New Roman"/>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sz w:val="24"/>
          <w:szCs w:val="24"/>
        </w:rPr>
        <w:t>2017</w:t>
      </w:r>
      <w:r>
        <w:rPr>
          <w:rFonts w:ascii="Times New Roman" w:hAnsi="Times New Roman"/>
          <w:sz w:val="24"/>
          <w:szCs w:val="24"/>
        </w:rPr>
        <w:t>年</w:t>
      </w:r>
      <w:r>
        <w:rPr>
          <w:rFonts w:ascii="Times New Roman" w:hAnsi="Times New Roman"/>
          <w:sz w:val="24"/>
          <w:szCs w:val="24"/>
        </w:rPr>
        <w:t>8</w:t>
      </w:r>
      <w:r>
        <w:rPr>
          <w:rFonts w:ascii="Times New Roman" w:hAnsi="Times New Roman"/>
          <w:sz w:val="24"/>
          <w:szCs w:val="24"/>
        </w:rPr>
        <w:t>月开始投入使用。填埋区采用分区作业，同时分区设置锚固沟</w:t>
      </w:r>
      <w:r>
        <w:rPr>
          <w:rFonts w:ascii="Times New Roman" w:hAnsi="Times New Roman"/>
          <w:sz w:val="24"/>
          <w:szCs w:val="24"/>
        </w:rPr>
        <w:t xml:space="preserve"> (</w:t>
      </w:r>
      <w:r>
        <w:rPr>
          <w:rFonts w:ascii="Times New Roman" w:hAnsi="Times New Roman"/>
          <w:sz w:val="24"/>
          <w:szCs w:val="24"/>
        </w:rPr>
        <w:t>兼做导排</w:t>
      </w:r>
      <w:r>
        <w:rPr>
          <w:rFonts w:ascii="Times New Roman" w:hAnsi="Times New Roman"/>
          <w:sz w:val="24"/>
          <w:szCs w:val="24"/>
        </w:rPr>
        <w:t xml:space="preserve">) </w:t>
      </w:r>
      <w:r>
        <w:rPr>
          <w:rFonts w:ascii="Times New Roman" w:hAnsi="Times New Roman"/>
          <w:sz w:val="24"/>
          <w:szCs w:val="24"/>
        </w:rPr>
        <w:t>及分区坝。填埋作业从地势低点开始，则地势较高处的汇流雨水通过锚固沟、分区坝的截流、导排，倒入场外清水系统。填埋场作业面采用临时覆盖防雨措施在雨天用</w:t>
      </w:r>
      <w:r>
        <w:rPr>
          <w:rFonts w:ascii="Times New Roman" w:hAnsi="Times New Roman"/>
          <w:sz w:val="24"/>
          <w:szCs w:val="24"/>
        </w:rPr>
        <w:t>0.5mm</w:t>
      </w:r>
      <w:r>
        <w:rPr>
          <w:rFonts w:ascii="Times New Roman" w:hAnsi="Times New Roman"/>
          <w:sz w:val="24"/>
          <w:szCs w:val="24"/>
        </w:rPr>
        <w:t>厚的</w:t>
      </w:r>
      <w:r>
        <w:rPr>
          <w:rFonts w:ascii="Times New Roman" w:hAnsi="Times New Roman"/>
          <w:sz w:val="24"/>
          <w:szCs w:val="24"/>
        </w:rPr>
        <w:t xml:space="preserve">HFPE </w:t>
      </w:r>
      <w:r>
        <w:rPr>
          <w:rFonts w:ascii="Times New Roman" w:hAnsi="Times New Roman"/>
          <w:sz w:val="24"/>
          <w:szCs w:val="24"/>
        </w:rPr>
        <w:t>防渗膜将整个废物作业面和边坡覆盖，覆盖</w:t>
      </w:r>
      <w:r>
        <w:rPr>
          <w:rFonts w:ascii="Times New Roman" w:hAnsi="Times New Roman"/>
          <w:sz w:val="24"/>
          <w:szCs w:val="24"/>
        </w:rPr>
        <w:lastRenderedPageBreak/>
        <w:t>膜上的雨水沿填埋作业带的坡向汇入蘑菇沟。在库区谷底防渗层上部铺设</w:t>
      </w:r>
      <w:r>
        <w:rPr>
          <w:rFonts w:ascii="Times New Roman" w:hAnsi="Times New Roman"/>
          <w:sz w:val="24"/>
          <w:szCs w:val="24"/>
        </w:rPr>
        <w:t>0.4m</w:t>
      </w:r>
      <w:r>
        <w:rPr>
          <w:rFonts w:ascii="Times New Roman" w:hAnsi="Times New Roman"/>
          <w:sz w:val="24"/>
          <w:szCs w:val="24"/>
        </w:rPr>
        <w:t>厚的卵石导流层，沿谷底地形开挖渗沥液收集管沟，管沟的中间埋设多孔管，周边填充鹅卵石，纵沟</w:t>
      </w:r>
      <w:r>
        <w:rPr>
          <w:rFonts w:ascii="Times New Roman" w:hAnsi="Times New Roman"/>
          <w:sz w:val="24"/>
          <w:szCs w:val="24"/>
        </w:rPr>
        <w:t>HDPE</w:t>
      </w:r>
      <w:r>
        <w:rPr>
          <w:rFonts w:ascii="Times New Roman" w:hAnsi="Times New Roman"/>
          <w:sz w:val="24"/>
          <w:szCs w:val="24"/>
        </w:rPr>
        <w:t>管接入主坝前的排水主管，通过分水闸进入渗滤液调节池。</w:t>
      </w:r>
    </w:p>
    <w:p w:rsidR="002E0378" w:rsidRDefault="005C380A">
      <w:pPr>
        <w:spacing w:line="360" w:lineRule="auto"/>
        <w:jc w:val="left"/>
        <w:rPr>
          <w:rFonts w:ascii="Times New Roman" w:hAnsi="Times New Roman"/>
          <w:sz w:val="24"/>
          <w:szCs w:val="24"/>
        </w:rPr>
      </w:pPr>
      <w:r>
        <w:rPr>
          <w:rFonts w:ascii="Times New Roman" w:hAnsi="Times New Roman"/>
          <w:sz w:val="24"/>
          <w:szCs w:val="24"/>
        </w:rPr>
        <w:t xml:space="preserve">(5) </w:t>
      </w:r>
      <w:r>
        <w:rPr>
          <w:rFonts w:ascii="Times New Roman" w:hAnsi="Times New Roman"/>
          <w:sz w:val="24"/>
          <w:szCs w:val="24"/>
        </w:rPr>
        <w:t>废水的防治措施</w:t>
      </w:r>
    </w:p>
    <w:p w:rsidR="002E0378" w:rsidRDefault="005C380A">
      <w:pPr>
        <w:spacing w:line="360" w:lineRule="auto"/>
        <w:ind w:firstLineChars="200" w:firstLine="480"/>
        <w:jc w:val="left"/>
        <w:rPr>
          <w:rFonts w:ascii="Times New Roman" w:hAnsi="Times New Roman"/>
          <w:sz w:val="24"/>
          <w:szCs w:val="24"/>
        </w:rPr>
      </w:pPr>
      <w:r>
        <w:rPr>
          <w:rFonts w:ascii="Times New Roman" w:hAnsi="Times New Roman"/>
          <w:sz w:val="24"/>
          <w:szCs w:val="24"/>
        </w:rPr>
        <w:t>本项目废水主要包括物</w:t>
      </w:r>
      <w:r>
        <w:rPr>
          <w:rFonts w:ascii="Times New Roman" w:hAnsi="Times New Roman"/>
          <w:sz w:val="24"/>
          <w:szCs w:val="24"/>
        </w:rPr>
        <w:t>/</w:t>
      </w:r>
      <w:r>
        <w:rPr>
          <w:rFonts w:ascii="Times New Roman" w:hAnsi="Times New Roman"/>
          <w:sz w:val="24"/>
          <w:szCs w:val="24"/>
        </w:rPr>
        <w:t>化车间废水、厂区雨水、填埋场渗滤液、车间地面冲洗、化验污水，以及回转窑软水车间和余热锅炉排水、回转窑湿法脱酸塔废水及喷淋消毒间废水等。生产厂区雨水通过雨水管网收集后进入雨水收集池，连同填埋渗滤液、物</w:t>
      </w:r>
      <w:r>
        <w:rPr>
          <w:rFonts w:ascii="Times New Roman" w:hAnsi="Times New Roman"/>
          <w:sz w:val="24"/>
          <w:szCs w:val="24"/>
        </w:rPr>
        <w:t>/</w:t>
      </w:r>
      <w:r>
        <w:rPr>
          <w:rFonts w:ascii="Times New Roman" w:hAnsi="Times New Roman"/>
          <w:sz w:val="24"/>
          <w:szCs w:val="24"/>
        </w:rPr>
        <w:t>化车间预处理后的物化尾水以及其他生产污水等一并收集于调节池进行均质，再经提升泵送往混凝沉淀池，在混凝沉淀池中加入氢氧化钠溶液</w:t>
      </w:r>
      <w:r>
        <w:rPr>
          <w:rFonts w:ascii="Times New Roman" w:hAnsi="Times New Roman"/>
          <w:sz w:val="24"/>
          <w:szCs w:val="24"/>
        </w:rPr>
        <w:t xml:space="preserve"> </w:t>
      </w:r>
      <w:r>
        <w:rPr>
          <w:rFonts w:ascii="Times New Roman" w:hAnsi="Times New Roman"/>
          <w:sz w:val="24"/>
          <w:szCs w:val="24"/>
        </w:rPr>
        <w:t>调节</w:t>
      </w:r>
      <w:r>
        <w:rPr>
          <w:rFonts w:ascii="Times New Roman" w:hAnsi="Times New Roman"/>
          <w:sz w:val="24"/>
          <w:szCs w:val="24"/>
        </w:rPr>
        <w:t xml:space="preserve">pH </w:t>
      </w:r>
      <w:r>
        <w:rPr>
          <w:rFonts w:ascii="Times New Roman" w:hAnsi="Times New Roman"/>
          <w:sz w:val="24"/>
          <w:szCs w:val="24"/>
        </w:rPr>
        <w:t>，然后依次加入聚合氯化铝</w:t>
      </w:r>
      <w:r>
        <w:rPr>
          <w:rFonts w:ascii="Times New Roman" w:hAnsi="Times New Roman"/>
          <w:sz w:val="24"/>
          <w:szCs w:val="24"/>
        </w:rPr>
        <w:t xml:space="preserve">(PAC) </w:t>
      </w:r>
      <w:r>
        <w:rPr>
          <w:rFonts w:ascii="Times New Roman" w:hAnsi="Times New Roman"/>
          <w:sz w:val="24"/>
          <w:szCs w:val="24"/>
        </w:rPr>
        <w:t>和聚丙烯酰胺</w:t>
      </w:r>
      <w:r>
        <w:rPr>
          <w:rFonts w:ascii="Times New Roman" w:hAnsi="Times New Roman"/>
          <w:sz w:val="24"/>
          <w:szCs w:val="24"/>
        </w:rPr>
        <w:t xml:space="preserve">(PAM) </w:t>
      </w:r>
      <w:r>
        <w:rPr>
          <w:rFonts w:ascii="Times New Roman" w:hAnsi="Times New Roman"/>
          <w:sz w:val="24"/>
          <w:szCs w:val="24"/>
        </w:rPr>
        <w:t>，废水经沉</w:t>
      </w:r>
      <w:r>
        <w:rPr>
          <w:rFonts w:ascii="Times New Roman" w:hAnsi="Times New Roman"/>
          <w:sz w:val="24"/>
          <w:szCs w:val="24"/>
        </w:rPr>
        <w:t xml:space="preserve"> </w:t>
      </w:r>
      <w:r>
        <w:rPr>
          <w:rFonts w:ascii="Times New Roman" w:hAnsi="Times New Roman"/>
          <w:sz w:val="24"/>
          <w:szCs w:val="24"/>
        </w:rPr>
        <w:t>淀后加入二氧化氯水溶液进行消毒，消毒后废水排入缓冲池，检验废水符合接管</w:t>
      </w:r>
      <w:r>
        <w:rPr>
          <w:rFonts w:ascii="Times New Roman" w:hAnsi="Times New Roman"/>
          <w:sz w:val="24"/>
          <w:szCs w:val="24"/>
        </w:rPr>
        <w:t xml:space="preserve"> </w:t>
      </w:r>
      <w:r>
        <w:rPr>
          <w:rFonts w:ascii="Times New Roman" w:hAnsi="Times New Roman"/>
          <w:sz w:val="24"/>
          <w:szCs w:val="24"/>
        </w:rPr>
        <w:t>标准后经管网排入吉化污水处理厂做进一步处理；检验不合格废水打入调节池重新处理。而产生的污泥通过离心脱水机脱水后送至稳定化</w:t>
      </w:r>
      <w:r>
        <w:rPr>
          <w:rFonts w:ascii="Times New Roman" w:hAnsi="Times New Roman"/>
          <w:sz w:val="24"/>
          <w:szCs w:val="24"/>
        </w:rPr>
        <w:t>/</w:t>
      </w:r>
      <w:r>
        <w:rPr>
          <w:rFonts w:ascii="Times New Roman" w:hAnsi="Times New Roman"/>
          <w:sz w:val="24"/>
          <w:szCs w:val="24"/>
        </w:rPr>
        <w:t>固化车间固化填埋处理。污水处理站处理工艺流程见图</w:t>
      </w:r>
      <w:r>
        <w:rPr>
          <w:rFonts w:ascii="Times New Roman" w:hAnsi="Times New Roman"/>
          <w:sz w:val="24"/>
          <w:szCs w:val="24"/>
        </w:rPr>
        <w:t>2-</w:t>
      </w:r>
      <w:r>
        <w:rPr>
          <w:rFonts w:ascii="Times New Roman" w:hAnsi="Times New Roman" w:hint="eastAsia"/>
          <w:sz w:val="24"/>
          <w:szCs w:val="24"/>
        </w:rPr>
        <w:t>6</w:t>
      </w:r>
      <w:r>
        <w:rPr>
          <w:rFonts w:ascii="Times New Roman" w:hAnsi="Times New Roman"/>
          <w:sz w:val="24"/>
          <w:szCs w:val="24"/>
        </w:rPr>
        <w:t>，厂区排水管网如图</w:t>
      </w:r>
      <w:r>
        <w:rPr>
          <w:rFonts w:ascii="Times New Roman" w:hAnsi="Times New Roman"/>
          <w:sz w:val="24"/>
          <w:szCs w:val="24"/>
        </w:rPr>
        <w:t>2-</w:t>
      </w:r>
      <w:r>
        <w:rPr>
          <w:rFonts w:ascii="Times New Roman" w:hAnsi="Times New Roman" w:hint="eastAsia"/>
          <w:sz w:val="24"/>
          <w:szCs w:val="24"/>
        </w:rPr>
        <w:t>7</w:t>
      </w:r>
      <w:r>
        <w:rPr>
          <w:rFonts w:ascii="Times New Roman" w:hAnsi="Times New Roman"/>
          <w:sz w:val="24"/>
          <w:szCs w:val="24"/>
        </w:rPr>
        <w:t>。</w:t>
      </w:r>
    </w:p>
    <w:p w:rsidR="002E0378" w:rsidRDefault="005C380A">
      <w:pPr>
        <w:spacing w:line="360" w:lineRule="auto"/>
        <w:jc w:val="left"/>
        <w:rPr>
          <w:rFonts w:ascii="Times New Roman" w:hAnsi="Times New Roman"/>
          <w:sz w:val="24"/>
          <w:szCs w:val="24"/>
        </w:rPr>
      </w:pPr>
      <w:r>
        <w:rPr>
          <w:rFonts w:ascii="Times New Roman" w:hAnsi="Times New Roman"/>
          <w:sz w:val="24"/>
          <w:szCs w:val="24"/>
        </w:rPr>
        <w:t xml:space="preserve">(6) </w:t>
      </w:r>
      <w:r>
        <w:rPr>
          <w:rFonts w:ascii="Times New Roman" w:hAnsi="Times New Roman"/>
          <w:sz w:val="24"/>
          <w:szCs w:val="24"/>
        </w:rPr>
        <w:t>废气的防治措施</w:t>
      </w:r>
    </w:p>
    <w:p w:rsidR="002E0378" w:rsidRDefault="005C380A">
      <w:pPr>
        <w:spacing w:line="360" w:lineRule="auto"/>
        <w:ind w:firstLineChars="200" w:firstLine="480"/>
        <w:jc w:val="left"/>
        <w:rPr>
          <w:rFonts w:ascii="Times New Roman" w:hAnsi="Times New Roman"/>
          <w:sz w:val="24"/>
          <w:szCs w:val="24"/>
        </w:rPr>
      </w:pPr>
      <w:r>
        <w:rPr>
          <w:rFonts w:ascii="Times New Roman" w:hAnsi="Times New Roman"/>
          <w:sz w:val="24"/>
          <w:szCs w:val="24"/>
        </w:rPr>
        <w:t xml:space="preserve">1) </w:t>
      </w:r>
      <w:r>
        <w:rPr>
          <w:rFonts w:ascii="Times New Roman" w:hAnsi="Times New Roman"/>
          <w:sz w:val="24"/>
          <w:szCs w:val="24"/>
        </w:rPr>
        <w:t>危险废物焚烧处理系统：焚烧炉烟气主要污染物为烟尘、酸性气体</w:t>
      </w:r>
      <w:r>
        <w:rPr>
          <w:rFonts w:ascii="Times New Roman" w:hAnsi="Times New Roman"/>
          <w:sz w:val="24"/>
          <w:szCs w:val="24"/>
        </w:rPr>
        <w:t xml:space="preserve"> (HCl</w:t>
      </w:r>
      <w:r>
        <w:rPr>
          <w:rFonts w:ascii="Times New Roman" w:hAnsi="Times New Roman"/>
          <w:sz w:val="24"/>
          <w:szCs w:val="24"/>
        </w:rPr>
        <w:t>、</w:t>
      </w:r>
      <w:r>
        <w:rPr>
          <w:rFonts w:ascii="Times New Roman" w:hAnsi="Times New Roman"/>
          <w:sz w:val="24"/>
          <w:szCs w:val="24"/>
        </w:rPr>
        <w:t>HF</w:t>
      </w:r>
      <w:r>
        <w:rPr>
          <w:rFonts w:ascii="Times New Roman" w:hAnsi="Times New Roman"/>
          <w:sz w:val="24"/>
          <w:szCs w:val="24"/>
        </w:rPr>
        <w:t>、</w:t>
      </w:r>
      <w:r>
        <w:rPr>
          <w:rFonts w:ascii="Times New Roman" w:hAnsi="Times New Roman"/>
          <w:sz w:val="24"/>
          <w:szCs w:val="24"/>
        </w:rPr>
        <w:t xml:space="preserve">SOx ) </w:t>
      </w:r>
      <w:r>
        <w:rPr>
          <w:rFonts w:ascii="Times New Roman" w:hAnsi="Times New Roman"/>
          <w:sz w:val="24"/>
          <w:szCs w:val="24"/>
        </w:rPr>
        <w:t>、金属及其化合物、二噁英等。焚烧炉设置二燃室，温度上升到</w:t>
      </w:r>
      <w:r>
        <w:rPr>
          <w:rFonts w:ascii="Times New Roman" w:hAnsi="Times New Roman"/>
          <w:sz w:val="24"/>
          <w:szCs w:val="24"/>
        </w:rPr>
        <w:t>1100℃</w:t>
      </w:r>
      <w:r>
        <w:rPr>
          <w:rFonts w:ascii="Times New Roman" w:hAnsi="Times New Roman"/>
          <w:sz w:val="24"/>
          <w:szCs w:val="24"/>
        </w:rPr>
        <w:t>以上，停留时间大于</w:t>
      </w:r>
      <w:r>
        <w:rPr>
          <w:rFonts w:ascii="Times New Roman" w:hAnsi="Times New Roman"/>
          <w:sz w:val="24"/>
          <w:szCs w:val="24"/>
        </w:rPr>
        <w:t>2s</w:t>
      </w:r>
      <w:r>
        <w:rPr>
          <w:rFonts w:ascii="Times New Roman" w:hAnsi="Times New Roman"/>
          <w:sz w:val="24"/>
          <w:szCs w:val="24"/>
        </w:rPr>
        <w:t>，烟气经过余热锅炉后温度由原来的</w:t>
      </w:r>
      <w:r>
        <w:rPr>
          <w:rFonts w:ascii="Times New Roman" w:hAnsi="Times New Roman"/>
          <w:sz w:val="24"/>
          <w:szCs w:val="24"/>
        </w:rPr>
        <w:t>1100℃</w:t>
      </w:r>
      <w:r>
        <w:rPr>
          <w:rFonts w:ascii="Times New Roman" w:hAnsi="Times New Roman"/>
          <w:sz w:val="24"/>
          <w:szCs w:val="24"/>
        </w:rPr>
        <w:t>以上降至</w:t>
      </w:r>
      <w:r>
        <w:rPr>
          <w:rFonts w:ascii="Times New Roman" w:hAnsi="Times New Roman"/>
          <w:sz w:val="24"/>
          <w:szCs w:val="24"/>
        </w:rPr>
        <w:t>550℃</w:t>
      </w:r>
      <w:r>
        <w:rPr>
          <w:rFonts w:ascii="Times New Roman" w:hAnsi="Times New Roman"/>
          <w:sz w:val="24"/>
          <w:szCs w:val="24"/>
        </w:rPr>
        <w:t>左右进入急冷塔温</w:t>
      </w:r>
      <w:r>
        <w:rPr>
          <w:rFonts w:ascii="Times New Roman" w:hAnsi="Times New Roman"/>
          <w:sz w:val="24"/>
          <w:szCs w:val="24"/>
        </w:rPr>
        <w:t xml:space="preserve"> </w:t>
      </w:r>
      <w:r>
        <w:rPr>
          <w:rFonts w:ascii="Times New Roman" w:hAnsi="Times New Roman"/>
          <w:sz w:val="24"/>
          <w:szCs w:val="24"/>
        </w:rPr>
        <w:t>度骤冷至</w:t>
      </w:r>
      <w:r>
        <w:rPr>
          <w:rFonts w:ascii="Times New Roman" w:hAnsi="Times New Roman"/>
          <w:sz w:val="24"/>
          <w:szCs w:val="24"/>
        </w:rPr>
        <w:t>200℃</w:t>
      </w:r>
      <w:r>
        <w:rPr>
          <w:rFonts w:ascii="Times New Roman" w:hAnsi="Times New Roman"/>
          <w:sz w:val="24"/>
          <w:szCs w:val="24"/>
        </w:rPr>
        <w:t>以下，减少二噁英再生成。经过急冷后的烟气从脱酸塔底部进入，并喷入石灰粉及干活性炭粉，以去除烟气中的二噁英和重金属等污染物。然后烟气通过布袋除尘后进入洗涤塔，洗涤塔后设置烟气再热器，通过换热装置将烟气升温至</w:t>
      </w:r>
      <w:r>
        <w:rPr>
          <w:rFonts w:ascii="Times New Roman" w:hAnsi="Times New Roman"/>
          <w:sz w:val="24"/>
          <w:szCs w:val="24"/>
        </w:rPr>
        <w:t>100℃</w:t>
      </w:r>
      <w:r>
        <w:rPr>
          <w:rFonts w:ascii="Times New Roman" w:hAnsi="Times New Roman"/>
          <w:sz w:val="24"/>
          <w:szCs w:val="24"/>
        </w:rPr>
        <w:t>以上后通过引风机送由</w:t>
      </w:r>
      <w:r>
        <w:rPr>
          <w:rFonts w:ascii="Times New Roman" w:hAnsi="Times New Roman"/>
          <w:sz w:val="24"/>
          <w:szCs w:val="24"/>
        </w:rPr>
        <w:t>50</w:t>
      </w:r>
      <w:r>
        <w:rPr>
          <w:rFonts w:ascii="Times New Roman" w:hAnsi="Times New Roman"/>
          <w:sz w:val="24"/>
          <w:szCs w:val="24"/>
        </w:rPr>
        <w:t>米高排气筒排放。焚烧处理系统废气处理工艺见图</w:t>
      </w:r>
      <w:r>
        <w:rPr>
          <w:rFonts w:ascii="Times New Roman" w:hAnsi="Times New Roman"/>
          <w:sz w:val="24"/>
          <w:szCs w:val="24"/>
        </w:rPr>
        <w:t>2-</w:t>
      </w:r>
      <w:r>
        <w:rPr>
          <w:rFonts w:ascii="Times New Roman" w:hAnsi="Times New Roman" w:hint="eastAsia"/>
          <w:sz w:val="24"/>
          <w:szCs w:val="24"/>
        </w:rPr>
        <w:t>8</w:t>
      </w:r>
      <w:r>
        <w:rPr>
          <w:rFonts w:ascii="Times New Roman" w:hAnsi="Times New Roman"/>
          <w:sz w:val="24"/>
          <w:szCs w:val="24"/>
        </w:rPr>
        <w:t>。</w:t>
      </w:r>
    </w:p>
    <w:p w:rsidR="002E0378" w:rsidRDefault="005C380A">
      <w:bookmarkStart w:id="30" w:name="_Toc11065"/>
      <w:r>
        <w:rPr>
          <w:noProof/>
        </w:rPr>
        <w:lastRenderedPageBreak/>
        <w:drawing>
          <wp:inline distT="0" distB="0" distL="114300" distR="114300">
            <wp:extent cx="4962525" cy="3880485"/>
            <wp:effectExtent l="0" t="0" r="9525" b="5715"/>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20"/>
                    <a:stretch>
                      <a:fillRect/>
                    </a:stretch>
                  </pic:blipFill>
                  <pic:spPr>
                    <a:xfrm>
                      <a:off x="0" y="0"/>
                      <a:ext cx="4962525" cy="3880485"/>
                    </a:xfrm>
                    <a:prstGeom prst="rect">
                      <a:avLst/>
                    </a:prstGeom>
                    <a:noFill/>
                    <a:ln>
                      <a:noFill/>
                    </a:ln>
                  </pic:spPr>
                </pic:pic>
              </a:graphicData>
            </a:graphic>
          </wp:inline>
        </w:drawing>
      </w:r>
      <w:bookmarkEnd w:id="30"/>
    </w:p>
    <w:p w:rsidR="002E0378" w:rsidRDefault="005C380A" w:rsidP="0090536A">
      <w:pPr>
        <w:pStyle w:val="20"/>
        <w:ind w:left="420"/>
        <w:jc w:val="center"/>
        <w:rPr>
          <w:b/>
          <w:bCs/>
        </w:rPr>
      </w:pPr>
      <w:r>
        <w:rPr>
          <w:b/>
          <w:bCs/>
          <w:spacing w:val="6"/>
          <w:sz w:val="23"/>
          <w:szCs w:val="23"/>
        </w:rPr>
        <w:t>图</w:t>
      </w:r>
      <w:r>
        <w:rPr>
          <w:b/>
          <w:bCs/>
          <w:spacing w:val="6"/>
          <w:sz w:val="23"/>
          <w:szCs w:val="23"/>
        </w:rPr>
        <w:t xml:space="preserve"> </w:t>
      </w:r>
      <w:r>
        <w:rPr>
          <w:rFonts w:hint="eastAsia"/>
          <w:b/>
          <w:bCs/>
          <w:spacing w:val="6"/>
          <w:sz w:val="23"/>
          <w:szCs w:val="23"/>
        </w:rPr>
        <w:t>2</w:t>
      </w:r>
      <w:r>
        <w:rPr>
          <w:rFonts w:eastAsia="Times New Roman"/>
          <w:b/>
          <w:bCs/>
          <w:spacing w:val="5"/>
          <w:sz w:val="23"/>
          <w:szCs w:val="23"/>
        </w:rPr>
        <w:t>-</w:t>
      </w:r>
      <w:r>
        <w:rPr>
          <w:rFonts w:hint="eastAsia"/>
          <w:b/>
          <w:bCs/>
          <w:spacing w:val="3"/>
          <w:sz w:val="23"/>
          <w:szCs w:val="23"/>
        </w:rPr>
        <w:t>6</w:t>
      </w:r>
      <w:r>
        <w:rPr>
          <w:rFonts w:eastAsia="Times New Roman"/>
          <w:b/>
          <w:bCs/>
          <w:spacing w:val="3"/>
          <w:sz w:val="23"/>
          <w:szCs w:val="23"/>
        </w:rPr>
        <w:t xml:space="preserve">    </w:t>
      </w:r>
      <w:r>
        <w:rPr>
          <w:b/>
          <w:bCs/>
          <w:spacing w:val="3"/>
          <w:sz w:val="23"/>
          <w:szCs w:val="23"/>
        </w:rPr>
        <w:t>污水处理站处理工艺流程图</w:t>
      </w:r>
    </w:p>
    <w:p w:rsidR="002E0378" w:rsidRDefault="005C380A">
      <w:r>
        <w:rPr>
          <w:noProof/>
        </w:rPr>
        <w:drawing>
          <wp:inline distT="0" distB="0" distL="114300" distR="114300">
            <wp:extent cx="4994910" cy="3855720"/>
            <wp:effectExtent l="0" t="0" r="15240" b="11430"/>
            <wp:docPr id="31" name="图片 9"/>
            <wp:cNvGraphicFramePr/>
            <a:graphic xmlns:a="http://schemas.openxmlformats.org/drawingml/2006/main">
              <a:graphicData uri="http://schemas.openxmlformats.org/drawingml/2006/picture">
                <pic:pic xmlns:pic="http://schemas.openxmlformats.org/drawingml/2006/picture">
                  <pic:nvPicPr>
                    <pic:cNvPr id="31" name="图片 9"/>
                    <pic:cNvPicPr/>
                  </pic:nvPicPr>
                  <pic:blipFill>
                    <a:blip r:embed="rId21"/>
                    <a:stretch>
                      <a:fillRect/>
                    </a:stretch>
                  </pic:blipFill>
                  <pic:spPr>
                    <a:xfrm>
                      <a:off x="0" y="0"/>
                      <a:ext cx="4994910" cy="3855720"/>
                    </a:xfrm>
                    <a:prstGeom prst="rect">
                      <a:avLst/>
                    </a:prstGeom>
                    <a:noFill/>
                    <a:ln>
                      <a:noFill/>
                    </a:ln>
                  </pic:spPr>
                </pic:pic>
              </a:graphicData>
            </a:graphic>
          </wp:inline>
        </w:drawing>
      </w:r>
    </w:p>
    <w:p w:rsidR="002E0378" w:rsidRDefault="005C380A" w:rsidP="0090536A">
      <w:pPr>
        <w:pStyle w:val="20"/>
        <w:ind w:left="420"/>
        <w:jc w:val="center"/>
        <w:rPr>
          <w:b/>
          <w:bCs/>
          <w:spacing w:val="3"/>
          <w:sz w:val="23"/>
          <w:szCs w:val="23"/>
        </w:rPr>
      </w:pPr>
      <w:r>
        <w:rPr>
          <w:b/>
          <w:bCs/>
          <w:spacing w:val="3"/>
          <w:sz w:val="23"/>
          <w:szCs w:val="23"/>
        </w:rPr>
        <w:lastRenderedPageBreak/>
        <w:t>图</w:t>
      </w:r>
      <w:r>
        <w:rPr>
          <w:b/>
          <w:bCs/>
          <w:spacing w:val="3"/>
          <w:sz w:val="23"/>
          <w:szCs w:val="23"/>
        </w:rPr>
        <w:t xml:space="preserve"> </w:t>
      </w:r>
      <w:r>
        <w:rPr>
          <w:rFonts w:hint="eastAsia"/>
          <w:b/>
          <w:bCs/>
          <w:spacing w:val="3"/>
          <w:sz w:val="23"/>
          <w:szCs w:val="23"/>
        </w:rPr>
        <w:t>2</w:t>
      </w:r>
      <w:r>
        <w:rPr>
          <w:b/>
          <w:bCs/>
          <w:spacing w:val="3"/>
          <w:sz w:val="23"/>
          <w:szCs w:val="23"/>
        </w:rPr>
        <w:t>-</w:t>
      </w:r>
      <w:r>
        <w:rPr>
          <w:rFonts w:hint="eastAsia"/>
          <w:b/>
          <w:bCs/>
          <w:spacing w:val="3"/>
          <w:sz w:val="23"/>
          <w:szCs w:val="23"/>
        </w:rPr>
        <w:t>7</w:t>
      </w:r>
      <w:r>
        <w:rPr>
          <w:b/>
          <w:bCs/>
          <w:spacing w:val="3"/>
          <w:sz w:val="23"/>
          <w:szCs w:val="23"/>
        </w:rPr>
        <w:t xml:space="preserve">  </w:t>
      </w:r>
      <w:r>
        <w:rPr>
          <w:b/>
          <w:bCs/>
          <w:spacing w:val="3"/>
          <w:sz w:val="23"/>
          <w:szCs w:val="23"/>
        </w:rPr>
        <w:t>厂区雨水、污水管网示意图</w:t>
      </w:r>
    </w:p>
    <w:bookmarkStart w:id="31" w:name="_Toc20281"/>
    <w:p w:rsidR="002E0378" w:rsidRDefault="005C380A">
      <w:pPr>
        <w:rPr>
          <w:rFonts w:ascii="Times New Roman" w:hAnsi="Times New Roman"/>
          <w:b/>
          <w:sz w:val="24"/>
        </w:rPr>
      </w:pPr>
      <w:r>
        <w:rPr>
          <w:rFonts w:ascii="Times New Roman" w:hAnsi="Times New Roman"/>
          <w:noProof/>
          <w:sz w:val="28"/>
        </w:rPr>
        <mc:AlternateContent>
          <mc:Choice Requires="wps">
            <w:drawing>
              <wp:anchor distT="0" distB="0" distL="114300" distR="114300" simplePos="0" relativeHeight="251673600" behindDoc="0" locked="0" layoutInCell="1" allowOverlap="1">
                <wp:simplePos x="0" y="0"/>
                <wp:positionH relativeFrom="column">
                  <wp:posOffset>45085</wp:posOffset>
                </wp:positionH>
                <wp:positionV relativeFrom="paragraph">
                  <wp:posOffset>-3810</wp:posOffset>
                </wp:positionV>
                <wp:extent cx="5238750" cy="6488430"/>
                <wp:effectExtent l="4445" t="4445" r="14605" b="22225"/>
                <wp:wrapNone/>
                <wp:docPr id="58" name="矩形 210"/>
                <wp:cNvGraphicFramePr/>
                <a:graphic xmlns:a="http://schemas.openxmlformats.org/drawingml/2006/main">
                  <a:graphicData uri="http://schemas.microsoft.com/office/word/2010/wordprocessingShape">
                    <wps:wsp>
                      <wps:cNvSpPr/>
                      <wps:spPr>
                        <a:xfrm>
                          <a:off x="0" y="0"/>
                          <a:ext cx="5857875" cy="6488430"/>
                        </a:xfrm>
                        <a:prstGeom prst="rect">
                          <a:avLst/>
                        </a:prstGeom>
                        <a:noFill/>
                        <a:ln w="9525" cap="flat" cmpd="sng">
                          <a:solidFill>
                            <a:srgbClr val="000000"/>
                          </a:solidFill>
                          <a:prstDash val="solid"/>
                          <a:miter/>
                          <a:headEnd type="none" w="med" len="med"/>
                          <a:tailEnd type="none" w="med" len="med"/>
                        </a:ln>
                        <a:effectLst/>
                      </wps:spPr>
                      <wps:bodyPr vert="horz" anchor="t" anchorCtr="0" upright="1"/>
                    </wps:wsp>
                  </a:graphicData>
                </a:graphic>
              </wp:anchor>
            </w:drawing>
          </mc:Choice>
          <mc:Fallback xmlns:w15="http://schemas.microsoft.com/office/word/2012/wordml" xmlns:wpsCustomData="http://www.wps.cn/officeDocument/2013/wpsCustomData">
            <w:pict>
              <v:rect id="矩形 210" o:spid="_x0000_s1026" o:spt="1" style="position:absolute;left:0pt;margin-left:3.55pt;margin-top:-0.3pt;height:510.9pt;width:412.5pt;z-index:251673600;mso-width-relative:page;mso-height-relative:page;" filled="f" stroked="t" coordsize="21600,21600" o:gfxdata="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A6CotUAAAAIAQAADwAAAAAAAAAB&#10;ACAAAAAiAAAAZHJzL2Rvd25yZXYueG1sUEsBAhQAFAAAAAgAh07iQDKR2AYTAgAALAQAAA4AAAAA&#10;AAAAAQAgAAAAJAEAAGRycy9lMm9Eb2MueG1sUEsFBgAAAAAGAAYAWQEAAKkFAAAAAA==&#10;">
                <v:fill on="f" focussize="0,0"/>
                <v:stroke color="#000000" joinstyle="miter"/>
                <v:imagedata o:title=""/>
                <o:lock v:ext="edit" aspectratio="f"/>
              </v:rect>
            </w:pict>
          </mc:Fallback>
        </mc:AlternateContent>
      </w:r>
      <w:r>
        <w:rPr>
          <w:rFonts w:ascii="Times New Roman" w:hAnsi="Times New Roman"/>
          <w:noProof/>
        </w:rPr>
        <w:drawing>
          <wp:inline distT="0" distB="0" distL="114300" distR="114300">
            <wp:extent cx="5139055" cy="6446520"/>
            <wp:effectExtent l="0" t="0" r="4445" b="0"/>
            <wp:docPr id="59" name="图片 10"/>
            <wp:cNvGraphicFramePr/>
            <a:graphic xmlns:a="http://schemas.openxmlformats.org/drawingml/2006/main">
              <a:graphicData uri="http://schemas.openxmlformats.org/drawingml/2006/picture">
                <pic:pic xmlns:pic="http://schemas.openxmlformats.org/drawingml/2006/picture">
                  <pic:nvPicPr>
                    <pic:cNvPr id="59" name="图片 10"/>
                    <pic:cNvPicPr/>
                  </pic:nvPicPr>
                  <pic:blipFill>
                    <a:blip r:embed="rId22"/>
                    <a:stretch>
                      <a:fillRect/>
                    </a:stretch>
                  </pic:blipFill>
                  <pic:spPr>
                    <a:xfrm>
                      <a:off x="0" y="0"/>
                      <a:ext cx="5139055" cy="6446520"/>
                    </a:xfrm>
                    <a:prstGeom prst="rect">
                      <a:avLst/>
                    </a:prstGeom>
                    <a:noFill/>
                    <a:ln>
                      <a:noFill/>
                    </a:ln>
                  </pic:spPr>
                </pic:pic>
              </a:graphicData>
            </a:graphic>
          </wp:inline>
        </w:drawing>
      </w:r>
      <w:bookmarkEnd w:id="31"/>
    </w:p>
    <w:p w:rsidR="002E0378" w:rsidRDefault="005C380A">
      <w:pPr>
        <w:rPr>
          <w:rFonts w:ascii="Times New Roman" w:hAnsi="Times New Roman"/>
          <w:b/>
          <w:bCs/>
        </w:rPr>
      </w:pPr>
      <w:r>
        <w:rPr>
          <w:rFonts w:ascii="Times New Roman" w:hAnsi="Times New Roman"/>
          <w:b/>
          <w:bCs/>
        </w:rPr>
        <w:t xml:space="preserve">       </w:t>
      </w:r>
      <w:r>
        <w:rPr>
          <w:rFonts w:ascii="Times New Roman" w:hAnsi="Times New Roman"/>
          <w:b/>
          <w:bCs/>
        </w:rPr>
        <w:t>图</w:t>
      </w:r>
      <w:r>
        <w:rPr>
          <w:rFonts w:ascii="Times New Roman" w:hAnsi="Times New Roman"/>
          <w:b/>
          <w:bCs/>
        </w:rPr>
        <w:t xml:space="preserve"> </w:t>
      </w:r>
      <w:r>
        <w:rPr>
          <w:rFonts w:ascii="Times New Roman" w:hAnsi="Times New Roman" w:hint="eastAsia"/>
          <w:b/>
          <w:bCs/>
        </w:rPr>
        <w:t>2</w:t>
      </w:r>
      <w:r>
        <w:rPr>
          <w:rFonts w:ascii="Times New Roman" w:hAnsi="Times New Roman"/>
          <w:b/>
          <w:bCs/>
        </w:rPr>
        <w:t>-</w:t>
      </w:r>
      <w:r>
        <w:rPr>
          <w:rFonts w:ascii="Times New Roman" w:hAnsi="Times New Roman" w:hint="eastAsia"/>
          <w:b/>
          <w:bCs/>
        </w:rPr>
        <w:t>8</w:t>
      </w:r>
      <w:r>
        <w:rPr>
          <w:rFonts w:ascii="Times New Roman" w:hAnsi="Times New Roman"/>
          <w:b/>
          <w:bCs/>
        </w:rPr>
        <w:t xml:space="preserve"> </w:t>
      </w:r>
      <w:r>
        <w:rPr>
          <w:rFonts w:ascii="Times New Roman" w:hAnsi="Times New Roman"/>
          <w:b/>
          <w:bCs/>
        </w:rPr>
        <w:t>焚烧处理系统废气处理工艺流程图</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t>储存库尾气收集净化系统</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 xml:space="preserve">4# </w:t>
      </w:r>
      <w:r>
        <w:rPr>
          <w:rFonts w:ascii="Times New Roman" w:hAnsi="Times New Roman"/>
          <w:sz w:val="24"/>
          <w:szCs w:val="24"/>
        </w:rPr>
        <w:t>、</w:t>
      </w:r>
      <w:r>
        <w:rPr>
          <w:rFonts w:ascii="Times New Roman" w:hAnsi="Times New Roman"/>
          <w:sz w:val="24"/>
          <w:szCs w:val="24"/>
        </w:rPr>
        <w:t>5#</w:t>
      </w:r>
      <w:r>
        <w:rPr>
          <w:rFonts w:ascii="Times New Roman" w:hAnsi="Times New Roman"/>
          <w:sz w:val="24"/>
          <w:szCs w:val="24"/>
        </w:rPr>
        <w:t>危废储存库储存过程中产生的废气</w:t>
      </w:r>
      <w:r>
        <w:rPr>
          <w:rFonts w:ascii="Times New Roman" w:hAnsi="Times New Roman"/>
          <w:sz w:val="24"/>
          <w:szCs w:val="24"/>
        </w:rPr>
        <w:t xml:space="preserve"> (HCl</w:t>
      </w:r>
      <w:r>
        <w:rPr>
          <w:rFonts w:ascii="Times New Roman" w:hAnsi="Times New Roman"/>
          <w:sz w:val="24"/>
          <w:szCs w:val="24"/>
        </w:rPr>
        <w:t>、非甲烷总烃、</w:t>
      </w:r>
      <w:r>
        <w:rPr>
          <w:rFonts w:ascii="Times New Roman" w:hAnsi="Times New Roman"/>
          <w:sz w:val="24"/>
          <w:szCs w:val="24"/>
        </w:rPr>
        <w:t>NH</w:t>
      </w:r>
      <w:r>
        <w:rPr>
          <w:rFonts w:ascii="Times New Roman" w:hAnsi="Times New Roman"/>
          <w:sz w:val="24"/>
          <w:szCs w:val="24"/>
          <w:vertAlign w:val="subscript"/>
        </w:rPr>
        <w:t>3</w:t>
      </w:r>
      <w:r>
        <w:rPr>
          <w:rFonts w:ascii="Times New Roman" w:hAnsi="Times New Roman"/>
          <w:sz w:val="24"/>
          <w:szCs w:val="24"/>
        </w:rPr>
        <w:t>、</w:t>
      </w:r>
      <w:r>
        <w:rPr>
          <w:rFonts w:ascii="Times New Roman" w:hAnsi="Times New Roman"/>
          <w:sz w:val="24"/>
          <w:szCs w:val="24"/>
        </w:rPr>
        <w:t>H</w:t>
      </w:r>
      <w:r>
        <w:rPr>
          <w:rFonts w:ascii="Times New Roman" w:hAnsi="Times New Roman"/>
          <w:sz w:val="24"/>
          <w:szCs w:val="24"/>
          <w:vertAlign w:val="subscript"/>
        </w:rPr>
        <w:t>2</w:t>
      </w:r>
      <w:r>
        <w:rPr>
          <w:rFonts w:ascii="Times New Roman" w:hAnsi="Times New Roman"/>
          <w:sz w:val="24"/>
          <w:szCs w:val="24"/>
        </w:rPr>
        <w:t xml:space="preserve">S) </w:t>
      </w:r>
      <w:r>
        <w:rPr>
          <w:rFonts w:ascii="Times New Roman" w:hAnsi="Times New Roman"/>
          <w:sz w:val="24"/>
          <w:szCs w:val="24"/>
        </w:rPr>
        <w:t>均采取封闭式结构，采用负压收集</w:t>
      </w:r>
      <w:r>
        <w:rPr>
          <w:rFonts w:ascii="Times New Roman" w:hAnsi="Times New Roman"/>
          <w:sz w:val="24"/>
          <w:szCs w:val="24"/>
        </w:rPr>
        <w:t>+</w:t>
      </w:r>
      <w:r>
        <w:rPr>
          <w:rFonts w:ascii="Times New Roman" w:hAnsi="Times New Roman"/>
          <w:sz w:val="24"/>
          <w:szCs w:val="24"/>
        </w:rPr>
        <w:t>活性炭吸附方式处理废气，之后经同一根</w:t>
      </w:r>
      <w:r>
        <w:rPr>
          <w:rFonts w:ascii="Times New Roman" w:hAnsi="Times New Roman"/>
          <w:sz w:val="24"/>
          <w:szCs w:val="24"/>
        </w:rPr>
        <w:t>20m</w:t>
      </w:r>
      <w:r>
        <w:rPr>
          <w:rFonts w:ascii="Times New Roman" w:hAnsi="Times New Roman"/>
          <w:sz w:val="24"/>
          <w:szCs w:val="24"/>
        </w:rPr>
        <w:t>高排气筒高空排放。</w:t>
      </w:r>
      <w:r>
        <w:rPr>
          <w:rFonts w:ascii="Times New Roman" w:hAnsi="Times New Roman"/>
          <w:sz w:val="24"/>
          <w:szCs w:val="24"/>
        </w:rPr>
        <w:t>9#</w:t>
      </w:r>
      <w:r>
        <w:rPr>
          <w:rFonts w:ascii="Times New Roman" w:hAnsi="Times New Roman"/>
          <w:sz w:val="24"/>
          <w:szCs w:val="24"/>
        </w:rPr>
        <w:t>危险废物储存库同样采取封闭式结构，用负压收集</w:t>
      </w:r>
      <w:r>
        <w:rPr>
          <w:rFonts w:ascii="Times New Roman" w:hAnsi="Times New Roman"/>
          <w:sz w:val="24"/>
          <w:szCs w:val="24"/>
        </w:rPr>
        <w:t>+</w:t>
      </w:r>
      <w:r>
        <w:rPr>
          <w:rFonts w:ascii="Times New Roman" w:hAnsi="Times New Roman"/>
          <w:sz w:val="24"/>
          <w:szCs w:val="24"/>
        </w:rPr>
        <w:t>活性炭吸</w:t>
      </w:r>
      <w:r>
        <w:rPr>
          <w:rFonts w:ascii="Times New Roman" w:hAnsi="Times New Roman"/>
          <w:sz w:val="24"/>
          <w:szCs w:val="24"/>
        </w:rPr>
        <w:lastRenderedPageBreak/>
        <w:t>附方式处理废气，之后经</w:t>
      </w:r>
      <w:r>
        <w:rPr>
          <w:rFonts w:ascii="Times New Roman" w:hAnsi="Times New Roman"/>
          <w:sz w:val="24"/>
          <w:szCs w:val="24"/>
        </w:rPr>
        <w:t>20m</w:t>
      </w:r>
      <w:r>
        <w:rPr>
          <w:rFonts w:ascii="Times New Roman" w:hAnsi="Times New Roman"/>
          <w:sz w:val="24"/>
          <w:szCs w:val="24"/>
        </w:rPr>
        <w:t>高排气筒排放。</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 xml:space="preserve">3) </w:t>
      </w:r>
      <w:r>
        <w:rPr>
          <w:rFonts w:ascii="Times New Roman" w:hAnsi="Times New Roman"/>
          <w:sz w:val="24"/>
          <w:szCs w:val="24"/>
        </w:rPr>
        <w:t>污水处理站尾气处理装置</w:t>
      </w:r>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污水处理站采取了封闭式结构，恶臭气体经收集、活性炭吸附处理后经</w:t>
      </w:r>
      <w:r>
        <w:rPr>
          <w:rFonts w:ascii="Times New Roman" w:hAnsi="Times New Roman"/>
          <w:sz w:val="24"/>
          <w:szCs w:val="24"/>
        </w:rPr>
        <w:t>15m</w:t>
      </w:r>
      <w:r>
        <w:rPr>
          <w:rFonts w:ascii="Times New Roman" w:hAnsi="Times New Roman"/>
          <w:sz w:val="24"/>
          <w:szCs w:val="24"/>
        </w:rPr>
        <w:t>高排气筒高空排放。</w:t>
      </w:r>
    </w:p>
    <w:p w:rsidR="002E0378" w:rsidRDefault="005C380A">
      <w:pPr>
        <w:widowControl w:val="0"/>
        <w:spacing w:line="360" w:lineRule="auto"/>
        <w:ind w:firstLineChars="200" w:firstLine="480"/>
        <w:jc w:val="left"/>
        <w:rPr>
          <w:rFonts w:ascii="Times New Roman" w:hAnsi="Times New Roman"/>
          <w:sz w:val="24"/>
          <w:szCs w:val="24"/>
        </w:rPr>
      </w:pPr>
      <w:bookmarkStart w:id="32" w:name="_Toc26749"/>
      <w:r>
        <w:rPr>
          <w:rFonts w:ascii="Times New Roman" w:hAnsi="Times New Roman"/>
          <w:sz w:val="24"/>
          <w:szCs w:val="24"/>
        </w:rPr>
        <w:t xml:space="preserve">(6) </w:t>
      </w:r>
      <w:r>
        <w:rPr>
          <w:rFonts w:ascii="Times New Roman" w:hAnsi="Times New Roman"/>
          <w:sz w:val="24"/>
          <w:szCs w:val="24"/>
        </w:rPr>
        <w:t>固体废物的防治措施</w:t>
      </w:r>
      <w:bookmarkEnd w:id="32"/>
    </w:p>
    <w:p w:rsidR="002E0378" w:rsidRDefault="005C380A">
      <w:pPr>
        <w:widowControl w:val="0"/>
        <w:spacing w:line="360" w:lineRule="auto"/>
        <w:ind w:firstLineChars="200" w:firstLine="480"/>
        <w:jc w:val="left"/>
        <w:rPr>
          <w:rFonts w:ascii="Times New Roman" w:hAnsi="Times New Roman"/>
          <w:sz w:val="24"/>
          <w:szCs w:val="24"/>
        </w:rPr>
      </w:pPr>
      <w:r>
        <w:rPr>
          <w:rFonts w:ascii="Times New Roman" w:hAnsi="Times New Roman"/>
          <w:sz w:val="24"/>
          <w:szCs w:val="24"/>
        </w:rPr>
        <w:t>本项目固体废物主要是危险废物焚烧车间产生的炉渣、飞灰依托厂区现有安全填埋场安全填埋；废气处理产生的废活性炭、软化水车间产生的废树脂、设备检修过程产生的废机油及化验室化验产生的废液，利用本项目焚烧处置；废包装袋送往焚烧车间焚烧处理。</w:t>
      </w:r>
    </w:p>
    <w:p w:rsidR="002E0378" w:rsidRDefault="005C380A">
      <w:pPr>
        <w:pStyle w:val="2"/>
      </w:pPr>
      <w:bookmarkStart w:id="33" w:name="_Toc15944"/>
      <w:r>
        <w:rPr>
          <w:rFonts w:hint="eastAsia"/>
        </w:rPr>
        <w:t xml:space="preserve">2.4 </w:t>
      </w:r>
      <w:r>
        <w:rPr>
          <w:rFonts w:hint="eastAsia"/>
        </w:rPr>
        <w:t>企业现有生产规模</w:t>
      </w:r>
      <w:bookmarkEnd w:id="33"/>
    </w:p>
    <w:p w:rsidR="002E0378" w:rsidRDefault="002E0378"/>
    <w:p w:rsidR="002E0378" w:rsidRDefault="005C380A">
      <w:pPr>
        <w:pStyle w:val="WPSOffice1"/>
        <w:tabs>
          <w:tab w:val="right" w:leader="dot" w:pos="8306"/>
        </w:tabs>
        <w:spacing w:line="360" w:lineRule="auto"/>
        <w:ind w:firstLineChars="200" w:firstLine="480"/>
        <w:rPr>
          <w:sz w:val="24"/>
          <w:szCs w:val="32"/>
        </w:rPr>
      </w:pPr>
      <w:r>
        <w:rPr>
          <w:sz w:val="24"/>
          <w:szCs w:val="32"/>
        </w:rPr>
        <w:t>企业现有运营设施及功能，处理规模详见下表。</w:t>
      </w:r>
    </w:p>
    <w:p w:rsidR="002E0378" w:rsidRDefault="005C380A">
      <w:pPr>
        <w:widowControl w:val="0"/>
        <w:rPr>
          <w:rFonts w:ascii="Times New Roman" w:hAnsi="Times New Roman"/>
          <w:b/>
          <w:bCs/>
          <w:sz w:val="24"/>
        </w:rPr>
      </w:pPr>
      <w:r>
        <w:rPr>
          <w:rFonts w:ascii="Times New Roman" w:hAnsi="Times New Roman"/>
          <w:b/>
          <w:bCs/>
          <w:sz w:val="24"/>
        </w:rPr>
        <w:t>表</w:t>
      </w:r>
      <w:r>
        <w:rPr>
          <w:rFonts w:ascii="Times New Roman" w:hAnsi="Times New Roman" w:hint="eastAsia"/>
          <w:b/>
          <w:bCs/>
          <w:sz w:val="24"/>
        </w:rPr>
        <w:t>2</w:t>
      </w:r>
      <w:r>
        <w:rPr>
          <w:rFonts w:ascii="Times New Roman" w:hAnsi="Times New Roman"/>
          <w:b/>
          <w:bCs/>
          <w:sz w:val="24"/>
        </w:rPr>
        <w:t>-</w:t>
      </w:r>
      <w:r>
        <w:rPr>
          <w:rFonts w:ascii="Times New Roman" w:hAnsi="Times New Roman" w:hint="eastAsia"/>
          <w:b/>
          <w:bCs/>
          <w:sz w:val="24"/>
        </w:rPr>
        <w:t>3</w:t>
      </w:r>
      <w:r>
        <w:rPr>
          <w:rFonts w:ascii="Times New Roman" w:hAnsi="Times New Roman"/>
          <w:b/>
          <w:bCs/>
          <w:sz w:val="24"/>
        </w:rPr>
        <w:t xml:space="preserve">  </w:t>
      </w:r>
      <w:r>
        <w:rPr>
          <w:rFonts w:ascii="Times New Roman" w:hAnsi="Times New Roman"/>
          <w:b/>
          <w:bCs/>
          <w:sz w:val="24"/>
        </w:rPr>
        <w:t>现有工程生产规模表</w:t>
      </w:r>
    </w:p>
    <w:tbl>
      <w:tblPr>
        <w:tblStyle w:val="TableNormal"/>
        <w:tblW w:w="5007"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064"/>
        <w:gridCol w:w="1935"/>
        <w:gridCol w:w="5659"/>
      </w:tblGrid>
      <w:tr w:rsidR="002E0378">
        <w:trPr>
          <w:trHeight w:val="369"/>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编号</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设施名称</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区域或设施功能</w:t>
            </w:r>
          </w:p>
        </w:tc>
      </w:tr>
      <w:tr w:rsidR="002E0378">
        <w:trPr>
          <w:trHeight w:val="940"/>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1</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填埋场</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分为一期和二期填埋库区，一期库容为</w:t>
            </w:r>
            <w:r>
              <w:rPr>
                <w:rFonts w:ascii="Times New Roman" w:hAnsi="Times New Roman"/>
                <w:szCs w:val="21"/>
              </w:rPr>
              <w:t>18.5</w:t>
            </w:r>
            <w:r>
              <w:rPr>
                <w:rFonts w:ascii="Times New Roman" w:hAnsi="Times New Roman"/>
                <w:szCs w:val="21"/>
              </w:rPr>
              <w:t>万立方米，二期库容为</w:t>
            </w:r>
            <w:r>
              <w:rPr>
                <w:rFonts w:ascii="Times New Roman" w:hAnsi="Times New Roman"/>
                <w:szCs w:val="21"/>
              </w:rPr>
              <w:t>85.8</w:t>
            </w:r>
            <w:r>
              <w:rPr>
                <w:rFonts w:ascii="Times New Roman" w:hAnsi="Times New Roman"/>
                <w:szCs w:val="21"/>
              </w:rPr>
              <w:t>万立方米。目前一期已停运，暂未封场，二期运行使用中。填埋场底部铺设防渗土工膜，渗滤液经收集进入渗滤液调节池。</w:t>
            </w:r>
          </w:p>
        </w:tc>
      </w:tr>
      <w:tr w:rsidR="002E0378">
        <w:trPr>
          <w:trHeight w:val="725"/>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2</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渗滤液调节池</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对填埋场因废物自身及降雨产生的渗滤液进行收集，收集后打入污水处理站进行处理。池体为钢筋混凝土结构。</w:t>
            </w:r>
          </w:p>
        </w:tc>
      </w:tr>
      <w:tr w:rsidR="002E0378">
        <w:trPr>
          <w:trHeight w:val="345"/>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3</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 xml:space="preserve">70t </w:t>
            </w:r>
            <w:r>
              <w:rPr>
                <w:rFonts w:ascii="Times New Roman" w:hAnsi="Times New Roman"/>
                <w:szCs w:val="21"/>
              </w:rPr>
              <w:t>炉焚烧车间</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设有</w:t>
            </w:r>
            <w:r>
              <w:rPr>
                <w:rFonts w:ascii="Times New Roman" w:hAnsi="Times New Roman"/>
                <w:szCs w:val="21"/>
              </w:rPr>
              <w:t xml:space="preserve">70t/d </w:t>
            </w:r>
            <w:r>
              <w:rPr>
                <w:rFonts w:ascii="Times New Roman" w:hAnsi="Times New Roman"/>
                <w:szCs w:val="21"/>
              </w:rPr>
              <w:t>焚烧炉一台，并配套尾气处理设施。</w:t>
            </w:r>
          </w:p>
        </w:tc>
      </w:tr>
      <w:tr w:rsidR="002E0378">
        <w:trPr>
          <w:trHeight w:val="345"/>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4</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 xml:space="preserve">30t </w:t>
            </w:r>
            <w:r>
              <w:rPr>
                <w:rFonts w:ascii="Times New Roman" w:hAnsi="Times New Roman"/>
                <w:szCs w:val="21"/>
              </w:rPr>
              <w:t>炉焚烧车间</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设有</w:t>
            </w:r>
            <w:r>
              <w:rPr>
                <w:rFonts w:ascii="Times New Roman" w:hAnsi="Times New Roman"/>
                <w:szCs w:val="21"/>
              </w:rPr>
              <w:t xml:space="preserve">30t/d </w:t>
            </w:r>
            <w:r>
              <w:rPr>
                <w:rFonts w:ascii="Times New Roman" w:hAnsi="Times New Roman"/>
                <w:szCs w:val="21"/>
              </w:rPr>
              <w:t>焚烧炉一台，并配套尾气处理设施。</w:t>
            </w:r>
          </w:p>
        </w:tc>
      </w:tr>
      <w:tr w:rsidR="002E0378">
        <w:trPr>
          <w:trHeight w:val="628"/>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5</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5#</w:t>
            </w:r>
            <w:r>
              <w:rPr>
                <w:rFonts w:ascii="Times New Roman" w:hAnsi="Times New Roman"/>
                <w:szCs w:val="21"/>
              </w:rPr>
              <w:t>库</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存储各类危险废物，地面铺设混凝土及环氧树脂土层，并设有废液收集槽。</w:t>
            </w:r>
          </w:p>
        </w:tc>
      </w:tr>
      <w:tr w:rsidR="002E0378">
        <w:trPr>
          <w:trHeight w:val="628"/>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6</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4#</w:t>
            </w:r>
            <w:r>
              <w:rPr>
                <w:rFonts w:ascii="Times New Roman" w:hAnsi="Times New Roman"/>
                <w:szCs w:val="21"/>
              </w:rPr>
              <w:t>库</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存储各类危险废物，地面铺设混凝土及环氧树脂土层，并设有废液收集槽。</w:t>
            </w:r>
          </w:p>
        </w:tc>
      </w:tr>
      <w:tr w:rsidR="002E0378">
        <w:trPr>
          <w:trHeight w:val="652"/>
        </w:trPr>
        <w:tc>
          <w:tcPr>
            <w:tcW w:w="614"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7</w:t>
            </w:r>
          </w:p>
        </w:tc>
        <w:tc>
          <w:tcPr>
            <w:tcW w:w="111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污水处理站</w:t>
            </w:r>
          </w:p>
        </w:tc>
        <w:tc>
          <w:tcPr>
            <w:tcW w:w="3267" w:type="pct"/>
            <w:tcBorders>
              <w:tl2br w:val="nil"/>
              <w:tr2bl w:val="nil"/>
            </w:tcBorders>
            <w:vAlign w:val="center"/>
          </w:tcPr>
          <w:p w:rsidR="002E0378" w:rsidRDefault="005C380A">
            <w:pPr>
              <w:pStyle w:val="ae"/>
              <w:spacing w:line="300" w:lineRule="exact"/>
              <w:rPr>
                <w:rFonts w:ascii="Times New Roman" w:hAnsi="Times New Roman"/>
                <w:szCs w:val="21"/>
              </w:rPr>
            </w:pPr>
            <w:r>
              <w:rPr>
                <w:rFonts w:ascii="Times New Roman" w:hAnsi="Times New Roman"/>
                <w:szCs w:val="21"/>
              </w:rPr>
              <w:t>处理厂区各工序产生的生产废水及渗滤液，处理能力</w:t>
            </w:r>
            <w:r>
              <w:rPr>
                <w:rFonts w:ascii="Times New Roman" w:hAnsi="Times New Roman"/>
                <w:szCs w:val="21"/>
              </w:rPr>
              <w:t xml:space="preserve"> 240m</w:t>
            </w:r>
            <w:r>
              <w:rPr>
                <w:rFonts w:ascii="Times New Roman" w:hAnsi="Times New Roman"/>
                <w:szCs w:val="21"/>
                <w:vertAlign w:val="superscript"/>
              </w:rPr>
              <w:t>3</w:t>
            </w:r>
            <w:r>
              <w:rPr>
                <w:rFonts w:ascii="Times New Roman" w:hAnsi="Times New Roman"/>
                <w:szCs w:val="21"/>
              </w:rPr>
              <w:t xml:space="preserve">/d </w:t>
            </w:r>
            <w:r>
              <w:rPr>
                <w:rFonts w:ascii="Times New Roman" w:hAnsi="Times New Roman"/>
                <w:szCs w:val="21"/>
              </w:rPr>
              <w:t>，钢筋混凝土结构。</w:t>
            </w:r>
          </w:p>
        </w:tc>
      </w:tr>
    </w:tbl>
    <w:p w:rsidR="002E0378" w:rsidRDefault="005C380A">
      <w:pPr>
        <w:ind w:firstLine="482"/>
        <w:rPr>
          <w:rFonts w:ascii="宋体" w:hAnsi="宋体" w:cs="宋体"/>
        </w:rPr>
      </w:pPr>
      <w:r>
        <w:rPr>
          <w:noProof/>
        </w:rPr>
        <mc:AlternateContent>
          <mc:Choice Requires="wps">
            <w:drawing>
              <wp:anchor distT="0" distB="0" distL="114300" distR="114300" simplePos="0" relativeHeight="251668480" behindDoc="0" locked="0" layoutInCell="1" allowOverlap="1">
                <wp:simplePos x="0" y="0"/>
                <wp:positionH relativeFrom="column">
                  <wp:posOffset>2338705</wp:posOffset>
                </wp:positionH>
                <wp:positionV relativeFrom="paragraph">
                  <wp:posOffset>2743200</wp:posOffset>
                </wp:positionV>
                <wp:extent cx="1152525" cy="161925"/>
                <wp:effectExtent l="0" t="0" r="0" b="0"/>
                <wp:wrapNone/>
                <wp:docPr id="32" name="矩形 869"/>
                <wp:cNvGraphicFramePr/>
                <a:graphic xmlns:a="http://schemas.openxmlformats.org/drawingml/2006/main">
                  <a:graphicData uri="http://schemas.microsoft.com/office/word/2010/wordprocessingShape">
                    <wps:wsp>
                      <wps:cNvSpPr/>
                      <wps:spPr>
                        <a:xfrm>
                          <a:off x="0" y="0"/>
                          <a:ext cx="1152525" cy="161925"/>
                        </a:xfrm>
                        <a:prstGeom prst="rect">
                          <a:avLst/>
                        </a:prstGeom>
                        <a:solidFill>
                          <a:srgbClr val="FFFFFF"/>
                        </a:solidFill>
                        <a:ln>
                          <a:noFill/>
                        </a:ln>
                      </wps:spPr>
                      <wps:bodyPr wrap="square" upright="1"/>
                    </wps:wsp>
                  </a:graphicData>
                </a:graphic>
              </wp:anchor>
            </w:drawing>
          </mc:Choice>
          <mc:Fallback xmlns:w15="http://schemas.microsoft.com/office/word/2012/wordml" xmlns:wpsCustomData="http://www.wps.cn/officeDocument/2013/wpsCustomData">
            <w:pict>
              <v:rect id="矩形 869" o:spid="_x0000_s1026" o:spt="1" style="position:absolute;left:0pt;margin-left:184.15pt;margin-top:216pt;height:12.75pt;width:90.75pt;z-index:251668480;mso-width-relative:page;mso-height-relative:page;" fillcolor="#FFFFFF" filled="t" stroked="f" coordsize="21600,21600" o:gfxdata="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BeLmrZAAAACwEAAA8AAAAAAAAAAQAgAAAAIgAAAGRycy9kb3ducmV2LnhtbFBL&#10;AQIUABQAAAAIAIdO4kBchwg0vAEAAHADAAAOAAAAAAAAAAEAIAAAACgBAABkcnMvZTJvRG9jLnht&#10;bFBLBQYAAAAABgAGAFkBAABWBQAAAAA=&#10;">
                <v:fill on="t" focussize="0,0"/>
                <v:stroke on="f"/>
                <v:imagedata o:title=""/>
                <o:lock v:ext="edit" aspectratio="f"/>
              </v:rect>
            </w:pict>
          </mc:Fallback>
        </mc:AlternateContent>
      </w:r>
    </w:p>
    <w:p w:rsidR="002E0378" w:rsidRDefault="005C380A">
      <w:pPr>
        <w:pStyle w:val="2"/>
        <w:rPr>
          <w:rFonts w:ascii="宋体" w:hAnsi="宋体" w:cs="宋体"/>
          <w:szCs w:val="28"/>
        </w:rPr>
      </w:pPr>
      <w:bookmarkStart w:id="34" w:name="_Toc17086"/>
      <w:bookmarkStart w:id="35" w:name="_Toc28720"/>
      <w:r>
        <w:rPr>
          <w:rFonts w:hint="eastAsia"/>
        </w:rPr>
        <w:t xml:space="preserve">2.5 </w:t>
      </w:r>
      <w:r>
        <w:rPr>
          <w:rFonts w:hint="eastAsia"/>
        </w:rPr>
        <w:t>涉及的有毒有害物质</w:t>
      </w:r>
      <w:bookmarkEnd w:id="34"/>
      <w:bookmarkEnd w:id="35"/>
    </w:p>
    <w:p w:rsidR="002E0378" w:rsidRDefault="005C380A">
      <w:pPr>
        <w:pStyle w:val="a4"/>
        <w:ind w:firstLine="480"/>
      </w:pPr>
      <w:r>
        <w:rPr>
          <w:rFonts w:hint="eastAsia"/>
        </w:rPr>
        <w:t>根据《重点监管单位土壤污染隐患排查指南（试行）》，有毒有害物质主要指：</w:t>
      </w:r>
    </w:p>
    <w:p w:rsidR="002E0378" w:rsidRDefault="005C380A">
      <w:pPr>
        <w:pStyle w:val="a4"/>
        <w:ind w:firstLine="480"/>
      </w:pPr>
      <w:r>
        <w:rPr>
          <w:rFonts w:hint="eastAsia"/>
          <w:lang w:val="en-US"/>
        </w:rPr>
        <w:lastRenderedPageBreak/>
        <w:t>1</w:t>
      </w:r>
      <w:r>
        <w:rPr>
          <w:rFonts w:hint="eastAsia"/>
          <w:lang w:val="en-US"/>
        </w:rPr>
        <w:t>、</w:t>
      </w:r>
      <w:r>
        <w:rPr>
          <w:rFonts w:hint="eastAsia"/>
        </w:rPr>
        <w:t>列入《中华人民共和国水污染防治法》规定的有毒有害水污染物名录的污染物；</w:t>
      </w:r>
    </w:p>
    <w:p w:rsidR="002E0378" w:rsidRDefault="005C380A">
      <w:pPr>
        <w:pStyle w:val="a4"/>
        <w:ind w:firstLine="480"/>
      </w:pPr>
      <w:r>
        <w:rPr>
          <w:rFonts w:hint="eastAsia"/>
          <w:lang w:val="en-US"/>
        </w:rPr>
        <w:t>2</w:t>
      </w:r>
      <w:r>
        <w:rPr>
          <w:rFonts w:hint="eastAsia"/>
          <w:lang w:val="en-US"/>
        </w:rPr>
        <w:t>、</w:t>
      </w:r>
      <w:r>
        <w:rPr>
          <w:rFonts w:hint="eastAsia"/>
        </w:rPr>
        <w:t>列入《中华人民共和国大气污染防治法》规定的有毒有害大气污染物名录的污染物；</w:t>
      </w:r>
    </w:p>
    <w:p w:rsidR="002E0378" w:rsidRDefault="005C380A">
      <w:pPr>
        <w:pStyle w:val="a4"/>
        <w:ind w:firstLine="480"/>
      </w:pPr>
      <w:r>
        <w:rPr>
          <w:rFonts w:hint="eastAsia"/>
          <w:lang w:val="en-US"/>
        </w:rPr>
        <w:t>3</w:t>
      </w:r>
      <w:r>
        <w:rPr>
          <w:rFonts w:hint="eastAsia"/>
          <w:lang w:val="en-US"/>
        </w:rPr>
        <w:t>、</w:t>
      </w:r>
      <w:r>
        <w:rPr>
          <w:rFonts w:hint="eastAsia"/>
        </w:rPr>
        <w:t>《中华人民共和国固体废物污染环境防治法》规定的危险废物；</w:t>
      </w:r>
    </w:p>
    <w:p w:rsidR="002E0378" w:rsidRDefault="005C380A">
      <w:pPr>
        <w:pStyle w:val="a4"/>
        <w:ind w:firstLine="480"/>
      </w:pPr>
      <w:r>
        <w:rPr>
          <w:rFonts w:hint="eastAsia"/>
        </w:rPr>
        <w:t>4</w:t>
      </w:r>
      <w:r>
        <w:rPr>
          <w:rFonts w:hint="eastAsia"/>
        </w:rPr>
        <w:t>、国家和地方建设用地土壤污染风险管控标准管控的污染物；</w:t>
      </w:r>
    </w:p>
    <w:p w:rsidR="002E0378" w:rsidRDefault="005C380A">
      <w:pPr>
        <w:pStyle w:val="a4"/>
        <w:ind w:firstLine="480"/>
      </w:pPr>
      <w:r>
        <w:rPr>
          <w:rFonts w:hint="eastAsia"/>
        </w:rPr>
        <w:t>5</w:t>
      </w:r>
      <w:r>
        <w:rPr>
          <w:rFonts w:hint="eastAsia"/>
        </w:rPr>
        <w:t>、列入优先控制化学品名录内的物质；</w:t>
      </w:r>
    </w:p>
    <w:p w:rsidR="002E0378" w:rsidRDefault="005C380A">
      <w:pPr>
        <w:pStyle w:val="a4"/>
        <w:ind w:firstLine="480"/>
      </w:pPr>
      <w:r>
        <w:rPr>
          <w:rFonts w:hint="eastAsia"/>
        </w:rPr>
        <w:t>6</w:t>
      </w:r>
      <w:r>
        <w:rPr>
          <w:rFonts w:hint="eastAsia"/>
        </w:rPr>
        <w:t>、其他根据国家法律法规有关规定应当纳入有毒有害物质管理的物质。</w:t>
      </w:r>
    </w:p>
    <w:p w:rsidR="002E0378" w:rsidRDefault="005C380A">
      <w:pPr>
        <w:pStyle w:val="a4"/>
        <w:ind w:firstLine="480"/>
      </w:pPr>
      <w:r>
        <w:rPr>
          <w:rFonts w:hint="eastAsia"/>
          <w:lang w:val="en-US"/>
        </w:rPr>
        <w:t>本公司为生态保护和环境治理业单位，负责处理省内各类危险废物及吉林市内的医疗废物。为具有针对性的展开调查工作，经资料搜集和分析，结合现场踏勘情况，以场地主要功能区为基础，本公司涉及的有毒有害物质如表</w:t>
      </w:r>
      <w:r>
        <w:rPr>
          <w:rFonts w:hint="eastAsia"/>
          <w:lang w:val="en-US"/>
        </w:rPr>
        <w:t>2-4</w:t>
      </w:r>
      <w:r>
        <w:rPr>
          <w:rFonts w:hint="eastAsia"/>
          <w:lang w:val="en-US"/>
        </w:rPr>
        <w:t>所示。</w:t>
      </w:r>
    </w:p>
    <w:p w:rsidR="002E0378" w:rsidRDefault="005C380A">
      <w:pPr>
        <w:pStyle w:val="a4"/>
        <w:ind w:firstLineChars="0" w:firstLine="0"/>
        <w:jc w:val="center"/>
      </w:pPr>
      <w:r>
        <w:rPr>
          <w:rFonts w:hint="eastAsia"/>
          <w:b/>
          <w:bCs/>
        </w:rPr>
        <w:t>表</w:t>
      </w:r>
      <w:r>
        <w:rPr>
          <w:rFonts w:hint="eastAsia"/>
          <w:b/>
          <w:bCs/>
        </w:rPr>
        <w:t>2-</w:t>
      </w:r>
      <w:r>
        <w:rPr>
          <w:rFonts w:hint="eastAsia"/>
          <w:b/>
          <w:bCs/>
          <w:lang w:val="en-US"/>
        </w:rPr>
        <w:t>4</w:t>
      </w:r>
      <w:r>
        <w:rPr>
          <w:rFonts w:hint="eastAsia"/>
          <w:b/>
          <w:bCs/>
        </w:rPr>
        <w:t xml:space="preserve">  </w:t>
      </w:r>
      <w:r>
        <w:rPr>
          <w:rFonts w:hint="eastAsia"/>
          <w:b/>
          <w:bCs/>
        </w:rPr>
        <w:t>涉及的有毒有害物质一览表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2292"/>
        <w:gridCol w:w="3489"/>
        <w:gridCol w:w="1537"/>
        <w:gridCol w:w="1007"/>
      </w:tblGrid>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序号</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类别</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涉及文件</w:t>
            </w:r>
          </w:p>
        </w:tc>
        <w:tc>
          <w:tcPr>
            <w:tcW w:w="868" w:type="pct"/>
            <w:vAlign w:val="center"/>
          </w:tcPr>
          <w:p w:rsidR="002E0378" w:rsidRDefault="005C380A">
            <w:pPr>
              <w:rPr>
                <w:rFonts w:ascii="Times New Roman" w:hAnsi="Times New Roman"/>
                <w:sz w:val="18"/>
                <w:szCs w:val="18"/>
              </w:rPr>
            </w:pPr>
            <w:r>
              <w:rPr>
                <w:rFonts w:ascii="Times New Roman" w:hAnsi="Times New Roman"/>
                <w:sz w:val="18"/>
                <w:szCs w:val="18"/>
              </w:rPr>
              <w:t>涉及该类别有毒有害物质</w:t>
            </w:r>
          </w:p>
        </w:tc>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主要来源</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列入《中华人民共和国水污染防治法》规定的有毒有害水污染物名录的污染物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《有毒有害水污染物名录》（生态环境部</w:t>
            </w:r>
            <w:r>
              <w:rPr>
                <w:rFonts w:ascii="Times New Roman" w:hAnsi="Times New Roman"/>
                <w:sz w:val="18"/>
                <w:szCs w:val="18"/>
              </w:rPr>
              <w:t xml:space="preserve"> </w:t>
            </w:r>
            <w:r>
              <w:rPr>
                <w:rFonts w:ascii="Times New Roman" w:hAnsi="Times New Roman"/>
                <w:sz w:val="18"/>
                <w:szCs w:val="18"/>
              </w:rPr>
              <w:t>国家卫生健康委员会公告</w:t>
            </w:r>
            <w:r>
              <w:rPr>
                <w:rFonts w:ascii="Times New Roman" w:hAnsi="Times New Roman"/>
                <w:sz w:val="18"/>
                <w:szCs w:val="18"/>
              </w:rPr>
              <w:t>2019</w:t>
            </w:r>
            <w:r>
              <w:rPr>
                <w:rFonts w:ascii="Times New Roman" w:hAnsi="Times New Roman"/>
                <w:sz w:val="18"/>
                <w:szCs w:val="18"/>
              </w:rPr>
              <w:t>年第</w:t>
            </w:r>
            <w:r>
              <w:rPr>
                <w:rFonts w:ascii="Times New Roman" w:hAnsi="Times New Roman"/>
                <w:sz w:val="18"/>
                <w:szCs w:val="18"/>
              </w:rPr>
              <w:t>28</w:t>
            </w:r>
            <w:r>
              <w:rPr>
                <w:rFonts w:ascii="Times New Roman" w:hAnsi="Times New Roman"/>
                <w:sz w:val="18"/>
                <w:szCs w:val="18"/>
              </w:rPr>
              <w:t>号）</w:t>
            </w:r>
          </w:p>
        </w:tc>
        <w:tc>
          <w:tcPr>
            <w:tcW w:w="868" w:type="pct"/>
            <w:vAlign w:val="center"/>
          </w:tcPr>
          <w:p w:rsidR="002E0378" w:rsidRDefault="005C380A">
            <w:pPr>
              <w:jc w:val="left"/>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汞及其化合物、砷及其化合物、铅及其化合物、镉及其化合物、六价铬化合物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废水</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列入《中华人民共和国大气污染防治法》规定的有毒有害大气污染物名录的污染物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《有毒有害大气污染物名录》（生态环境部</w:t>
            </w:r>
            <w:r>
              <w:rPr>
                <w:rFonts w:ascii="Times New Roman" w:hAnsi="Times New Roman"/>
                <w:sz w:val="18"/>
                <w:szCs w:val="18"/>
              </w:rPr>
              <w:t xml:space="preserve"> </w:t>
            </w:r>
            <w:r>
              <w:rPr>
                <w:rFonts w:ascii="Times New Roman" w:hAnsi="Times New Roman"/>
                <w:sz w:val="18"/>
                <w:szCs w:val="18"/>
              </w:rPr>
              <w:t>国家卫生健康委员会公告</w:t>
            </w:r>
            <w:r>
              <w:rPr>
                <w:rFonts w:ascii="Times New Roman" w:hAnsi="Times New Roman"/>
                <w:sz w:val="18"/>
                <w:szCs w:val="18"/>
              </w:rPr>
              <w:t>2019</w:t>
            </w:r>
            <w:r>
              <w:rPr>
                <w:rFonts w:ascii="Times New Roman" w:hAnsi="Times New Roman"/>
                <w:sz w:val="18"/>
                <w:szCs w:val="18"/>
              </w:rPr>
              <w:t>年第</w:t>
            </w:r>
            <w:r>
              <w:rPr>
                <w:rFonts w:ascii="Times New Roman" w:hAnsi="Times New Roman"/>
                <w:sz w:val="18"/>
                <w:szCs w:val="18"/>
              </w:rPr>
              <w:t>4</w:t>
            </w:r>
            <w:r>
              <w:rPr>
                <w:rFonts w:ascii="Times New Roman" w:hAnsi="Times New Roman"/>
                <w:sz w:val="18"/>
                <w:szCs w:val="18"/>
              </w:rPr>
              <w:t>号）</w:t>
            </w:r>
          </w:p>
        </w:tc>
        <w:tc>
          <w:tcPr>
            <w:tcW w:w="868" w:type="pct"/>
            <w:vAlign w:val="center"/>
          </w:tcPr>
          <w:p w:rsidR="002E0378" w:rsidRDefault="005C380A">
            <w:pPr>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废气</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《中华人民共和国固体废物污染环境防治法》规定的危险废物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《危险废物名录》（</w:t>
            </w:r>
            <w:r>
              <w:rPr>
                <w:rFonts w:ascii="Times New Roman" w:hAnsi="Times New Roman"/>
                <w:sz w:val="18"/>
                <w:szCs w:val="18"/>
              </w:rPr>
              <w:t>2021</w:t>
            </w:r>
            <w:r>
              <w:rPr>
                <w:rFonts w:ascii="Times New Roman" w:hAnsi="Times New Roman"/>
                <w:sz w:val="18"/>
                <w:szCs w:val="18"/>
              </w:rPr>
              <w:t>年版）</w:t>
            </w:r>
          </w:p>
        </w:tc>
        <w:tc>
          <w:tcPr>
            <w:tcW w:w="868" w:type="pct"/>
            <w:vAlign w:val="center"/>
          </w:tcPr>
          <w:p w:rsidR="002E0378" w:rsidRDefault="005C380A">
            <w:pPr>
              <w:rPr>
                <w:rFonts w:ascii="Times New Roman" w:hAnsi="Times New Roman"/>
                <w:sz w:val="18"/>
                <w:szCs w:val="18"/>
              </w:rPr>
            </w:pPr>
            <w:r>
              <w:rPr>
                <w:rFonts w:ascii="Times New Roman" w:hAnsi="Times New Roman" w:hint="eastAsia"/>
                <w:sz w:val="18"/>
                <w:szCs w:val="18"/>
              </w:rPr>
              <w:t>各类危险废物及吉林市内的医疗废物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外来</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4</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国家和地方建设用地土壤污染风险管控标准管控的污染物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《土壤环境质量</w:t>
            </w:r>
            <w:r>
              <w:rPr>
                <w:rFonts w:ascii="Times New Roman" w:hAnsi="Times New Roman"/>
                <w:sz w:val="18"/>
                <w:szCs w:val="18"/>
              </w:rPr>
              <w:t xml:space="preserve"> </w:t>
            </w:r>
            <w:r>
              <w:rPr>
                <w:rFonts w:ascii="Times New Roman" w:hAnsi="Times New Roman"/>
                <w:sz w:val="18"/>
                <w:szCs w:val="18"/>
              </w:rPr>
              <w:t>建设用地土壤污染风险管控标准（试行）（</w:t>
            </w:r>
            <w:r>
              <w:rPr>
                <w:rFonts w:ascii="Times New Roman" w:hAnsi="Times New Roman"/>
                <w:sz w:val="18"/>
                <w:szCs w:val="18"/>
              </w:rPr>
              <w:t>GB366</w:t>
            </w:r>
            <w:r>
              <w:rPr>
                <w:rFonts w:ascii="Times New Roman" w:hAnsi="Times New Roman" w:hint="eastAsia"/>
                <w:sz w:val="18"/>
                <w:szCs w:val="18"/>
              </w:rPr>
              <w:t>0</w:t>
            </w:r>
            <w:r>
              <w:rPr>
                <w:rFonts w:ascii="Times New Roman" w:hAnsi="Times New Roman"/>
                <w:sz w:val="18"/>
                <w:szCs w:val="18"/>
              </w:rPr>
              <w:t>0-2018</w:t>
            </w:r>
            <w:r>
              <w:rPr>
                <w:rFonts w:ascii="Times New Roman" w:hAnsi="Times New Roman"/>
                <w:sz w:val="18"/>
                <w:szCs w:val="18"/>
              </w:rPr>
              <w:t>）》</w:t>
            </w:r>
          </w:p>
        </w:tc>
        <w:tc>
          <w:tcPr>
            <w:tcW w:w="868" w:type="pct"/>
            <w:vAlign w:val="center"/>
          </w:tcPr>
          <w:p w:rsidR="002E0378" w:rsidRDefault="005C380A">
            <w:pPr>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汞及其化合物、砷及其化合物、铅及其化合物、镉及其化合物、六价铬化合物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外来</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lastRenderedPageBreak/>
              <w:t>5</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列入有限控制化学品名录内的物质</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优先控制化学品名录（第一批：环境保护部、工业和信息化部、国家卫生和计划生育委员会公告</w:t>
            </w:r>
            <w:r>
              <w:rPr>
                <w:rFonts w:ascii="Times New Roman" w:hAnsi="Times New Roman"/>
                <w:sz w:val="18"/>
                <w:szCs w:val="18"/>
              </w:rPr>
              <w:t>2017</w:t>
            </w:r>
            <w:r>
              <w:rPr>
                <w:rFonts w:ascii="Times New Roman" w:hAnsi="Times New Roman"/>
                <w:sz w:val="18"/>
                <w:szCs w:val="18"/>
              </w:rPr>
              <w:t>年第</w:t>
            </w:r>
            <w:r>
              <w:rPr>
                <w:rFonts w:ascii="Times New Roman" w:hAnsi="Times New Roman"/>
                <w:sz w:val="18"/>
                <w:szCs w:val="18"/>
              </w:rPr>
              <w:t>83</w:t>
            </w:r>
            <w:r>
              <w:rPr>
                <w:rFonts w:ascii="Times New Roman" w:hAnsi="Times New Roman"/>
                <w:sz w:val="18"/>
                <w:szCs w:val="18"/>
              </w:rPr>
              <w:t>号，第二批：生态环境部、工业和信息化部、国家卫生健康委员会公告</w:t>
            </w:r>
            <w:r>
              <w:rPr>
                <w:rFonts w:ascii="Times New Roman" w:hAnsi="Times New Roman"/>
                <w:sz w:val="18"/>
                <w:szCs w:val="18"/>
              </w:rPr>
              <w:t>2020</w:t>
            </w:r>
            <w:r>
              <w:rPr>
                <w:rFonts w:ascii="Times New Roman" w:hAnsi="Times New Roman"/>
                <w:sz w:val="18"/>
                <w:szCs w:val="18"/>
              </w:rPr>
              <w:t>年第</w:t>
            </w:r>
            <w:r>
              <w:rPr>
                <w:rFonts w:ascii="Times New Roman" w:hAnsi="Times New Roman"/>
                <w:sz w:val="18"/>
                <w:szCs w:val="18"/>
              </w:rPr>
              <w:t>47</w:t>
            </w:r>
            <w:r>
              <w:rPr>
                <w:rFonts w:ascii="Times New Roman" w:hAnsi="Times New Roman"/>
                <w:sz w:val="18"/>
                <w:szCs w:val="18"/>
              </w:rPr>
              <w:t>号）</w:t>
            </w:r>
          </w:p>
        </w:tc>
        <w:tc>
          <w:tcPr>
            <w:tcW w:w="868" w:type="pct"/>
            <w:vAlign w:val="center"/>
          </w:tcPr>
          <w:p w:rsidR="002E0378" w:rsidRDefault="005C380A">
            <w:pPr>
              <w:rPr>
                <w:rFonts w:ascii="Times New Roman" w:hAnsi="Times New Roman"/>
                <w:sz w:val="18"/>
                <w:szCs w:val="18"/>
              </w:rPr>
            </w:pPr>
            <w:r>
              <w:rPr>
                <w:rFonts w:ascii="Times New Roman" w:hAnsi="Times New Roman" w:hint="eastAsia"/>
                <w:sz w:val="18"/>
                <w:szCs w:val="18"/>
              </w:rPr>
              <w:t>-</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6</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其他根据国家法律法规有关规定应当纳入有毒有害物质管理的物质</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w:t>
            </w:r>
          </w:p>
        </w:tc>
        <w:tc>
          <w:tcPr>
            <w:tcW w:w="868" w:type="pct"/>
            <w:vAlign w:val="center"/>
          </w:tcPr>
          <w:p w:rsidR="002E0378" w:rsidRDefault="005C380A">
            <w:pPr>
              <w:rPr>
                <w:rFonts w:ascii="Times New Roman" w:hAnsi="Times New Roman"/>
                <w:sz w:val="18"/>
                <w:szCs w:val="18"/>
              </w:rPr>
            </w:pPr>
            <w:r>
              <w:rPr>
                <w:rFonts w:ascii="Times New Roman" w:hAnsi="Times New Roman"/>
                <w:sz w:val="18"/>
                <w:szCs w:val="18"/>
              </w:rPr>
              <w:t>-</w:t>
            </w:r>
          </w:p>
        </w:tc>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w:t>
            </w:r>
          </w:p>
        </w:tc>
      </w:tr>
    </w:tbl>
    <w:p w:rsidR="002E0378" w:rsidRDefault="005C380A">
      <w:pPr>
        <w:pStyle w:val="2"/>
        <w:rPr>
          <w:rFonts w:ascii="宋体" w:hAnsi="宋体" w:cs="宋体"/>
        </w:rPr>
      </w:pPr>
      <w:bookmarkStart w:id="36" w:name="_Toc21680"/>
      <w:bookmarkStart w:id="37" w:name="_Toc29878"/>
      <w:r>
        <w:rPr>
          <w:rFonts w:hint="eastAsia"/>
        </w:rPr>
        <w:t xml:space="preserve">2.6 </w:t>
      </w:r>
      <w:r>
        <w:rPr>
          <w:rFonts w:hint="eastAsia"/>
        </w:rPr>
        <w:t>污染防治措施</w:t>
      </w:r>
      <w:bookmarkEnd w:id="36"/>
      <w:bookmarkEnd w:id="37"/>
    </w:p>
    <w:p w:rsidR="002E0378" w:rsidRDefault="005C380A">
      <w:pPr>
        <w:pStyle w:val="3"/>
        <w:rPr>
          <w:rFonts w:cs="宋体"/>
          <w:szCs w:val="28"/>
        </w:rPr>
      </w:pPr>
      <w:bookmarkStart w:id="38" w:name="_Toc19112"/>
      <w:r>
        <w:t>2.6.1</w:t>
      </w:r>
      <w:r>
        <w:rPr>
          <w:rFonts w:hint="eastAsia"/>
        </w:rPr>
        <w:t xml:space="preserve"> </w:t>
      </w:r>
      <w:r>
        <w:t>废气</w:t>
      </w:r>
      <w:bookmarkEnd w:id="38"/>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焚烧炉烟气主要污染物为烟尘、酸性气体（</w:t>
      </w:r>
      <w:r>
        <w:rPr>
          <w:rFonts w:cs="宋体" w:hint="eastAsia"/>
          <w:b w:val="0"/>
          <w:bCs w:val="0"/>
          <w:kern w:val="2"/>
          <w:szCs w:val="28"/>
          <w:lang w:bidi="zh-CN"/>
        </w:rPr>
        <w:t>HCl</w:t>
      </w:r>
      <w:r>
        <w:rPr>
          <w:rFonts w:cs="宋体" w:hint="eastAsia"/>
          <w:b w:val="0"/>
          <w:bCs w:val="0"/>
          <w:kern w:val="2"/>
          <w:szCs w:val="28"/>
          <w:lang w:bidi="zh-CN"/>
        </w:rPr>
        <w:t>、</w:t>
      </w:r>
      <w:r>
        <w:rPr>
          <w:rFonts w:cs="宋体" w:hint="eastAsia"/>
          <w:b w:val="0"/>
          <w:bCs w:val="0"/>
          <w:kern w:val="2"/>
          <w:szCs w:val="28"/>
          <w:lang w:bidi="zh-CN"/>
        </w:rPr>
        <w:t>HF</w:t>
      </w:r>
      <w:r>
        <w:rPr>
          <w:rFonts w:cs="宋体" w:hint="eastAsia"/>
          <w:b w:val="0"/>
          <w:bCs w:val="0"/>
          <w:kern w:val="2"/>
          <w:szCs w:val="28"/>
          <w:lang w:bidi="zh-CN"/>
        </w:rPr>
        <w:t>、</w:t>
      </w:r>
      <w:r>
        <w:rPr>
          <w:rFonts w:cs="宋体" w:hint="eastAsia"/>
          <w:b w:val="0"/>
          <w:bCs w:val="0"/>
          <w:kern w:val="2"/>
          <w:szCs w:val="28"/>
          <w:lang w:bidi="zh-CN"/>
        </w:rPr>
        <w:t>SOx</w:t>
      </w:r>
      <w:r>
        <w:rPr>
          <w:rFonts w:cs="宋体" w:hint="eastAsia"/>
          <w:b w:val="0"/>
          <w:bCs w:val="0"/>
          <w:kern w:val="2"/>
          <w:szCs w:val="28"/>
          <w:lang w:bidi="zh-CN"/>
        </w:rPr>
        <w:t>）、金属及其化合物、二噁英等。焚烧炉设置二燃室，温度上升到</w:t>
      </w:r>
      <w:r>
        <w:rPr>
          <w:rFonts w:cs="宋体" w:hint="eastAsia"/>
          <w:b w:val="0"/>
          <w:bCs w:val="0"/>
          <w:kern w:val="2"/>
          <w:szCs w:val="28"/>
          <w:lang w:bidi="zh-CN"/>
        </w:rPr>
        <w:t xml:space="preserve"> 1100</w:t>
      </w:r>
      <w:r>
        <w:rPr>
          <w:rFonts w:cs="宋体" w:hint="eastAsia"/>
          <w:b w:val="0"/>
          <w:bCs w:val="0"/>
          <w:kern w:val="2"/>
          <w:szCs w:val="28"/>
          <w:lang w:bidi="zh-CN"/>
        </w:rPr>
        <w:t>℃以上，停留时间大于</w:t>
      </w:r>
      <w:r>
        <w:rPr>
          <w:rFonts w:cs="宋体" w:hint="eastAsia"/>
          <w:b w:val="0"/>
          <w:bCs w:val="0"/>
          <w:kern w:val="2"/>
          <w:szCs w:val="28"/>
          <w:lang w:bidi="zh-CN"/>
        </w:rPr>
        <w:t>2s</w:t>
      </w:r>
      <w:r>
        <w:rPr>
          <w:rFonts w:cs="宋体" w:hint="eastAsia"/>
          <w:b w:val="0"/>
          <w:bCs w:val="0"/>
          <w:kern w:val="2"/>
          <w:szCs w:val="28"/>
          <w:lang w:bidi="zh-CN"/>
        </w:rPr>
        <w:t>，烟气经过余热锅炉后温度由原来的</w:t>
      </w:r>
      <w:r>
        <w:rPr>
          <w:rFonts w:cs="宋体" w:hint="eastAsia"/>
          <w:b w:val="0"/>
          <w:bCs w:val="0"/>
          <w:kern w:val="2"/>
          <w:szCs w:val="28"/>
          <w:lang w:bidi="zh-CN"/>
        </w:rPr>
        <w:t>1100</w:t>
      </w:r>
      <w:r>
        <w:rPr>
          <w:rFonts w:cs="宋体" w:hint="eastAsia"/>
          <w:b w:val="0"/>
          <w:bCs w:val="0"/>
          <w:kern w:val="2"/>
          <w:szCs w:val="28"/>
          <w:lang w:bidi="zh-CN"/>
        </w:rPr>
        <w:t>℃以上降至</w:t>
      </w:r>
      <w:r>
        <w:rPr>
          <w:rFonts w:cs="宋体" w:hint="eastAsia"/>
          <w:b w:val="0"/>
          <w:bCs w:val="0"/>
          <w:kern w:val="2"/>
          <w:szCs w:val="28"/>
          <w:lang w:bidi="zh-CN"/>
        </w:rPr>
        <w:t xml:space="preserve"> 550</w:t>
      </w:r>
      <w:r>
        <w:rPr>
          <w:rFonts w:cs="宋体" w:hint="eastAsia"/>
          <w:b w:val="0"/>
          <w:bCs w:val="0"/>
          <w:kern w:val="2"/>
          <w:szCs w:val="28"/>
          <w:lang w:bidi="zh-CN"/>
        </w:rPr>
        <w:t>℃左右进入急冷塔温度骤冷至</w:t>
      </w:r>
      <w:r>
        <w:rPr>
          <w:rFonts w:cs="宋体" w:hint="eastAsia"/>
          <w:b w:val="0"/>
          <w:bCs w:val="0"/>
          <w:kern w:val="2"/>
          <w:szCs w:val="28"/>
          <w:lang w:bidi="zh-CN"/>
        </w:rPr>
        <w:t>200</w:t>
      </w:r>
      <w:r>
        <w:rPr>
          <w:rFonts w:cs="宋体" w:hint="eastAsia"/>
          <w:b w:val="0"/>
          <w:bCs w:val="0"/>
          <w:kern w:val="2"/>
          <w:szCs w:val="28"/>
          <w:lang w:bidi="zh-CN"/>
        </w:rPr>
        <w:t>℃以下，减少二噁英再生成。经过急冷后的烟气从脱酸塔底部进入，并喷入石灰粉及干活性炭粉，以去除烟气中的二噁英和重金属等污染物。然后烟气通过布袋除尘后进入洗涤塔，洗涤塔后设置烟气再热器，通过换热装置将烟气升温至</w:t>
      </w:r>
      <w:r>
        <w:rPr>
          <w:rFonts w:cs="宋体" w:hint="eastAsia"/>
          <w:b w:val="0"/>
          <w:bCs w:val="0"/>
          <w:kern w:val="2"/>
          <w:szCs w:val="28"/>
          <w:lang w:bidi="zh-CN"/>
        </w:rPr>
        <w:t xml:space="preserve"> 100</w:t>
      </w:r>
      <w:r>
        <w:rPr>
          <w:rFonts w:cs="宋体" w:hint="eastAsia"/>
          <w:b w:val="0"/>
          <w:bCs w:val="0"/>
          <w:kern w:val="2"/>
          <w:szCs w:val="28"/>
          <w:lang w:bidi="zh-CN"/>
        </w:rPr>
        <w:t>℃以上后通过引风机送由</w:t>
      </w:r>
      <w:r>
        <w:rPr>
          <w:rFonts w:cs="宋体" w:hint="eastAsia"/>
          <w:b w:val="0"/>
          <w:bCs w:val="0"/>
          <w:kern w:val="2"/>
          <w:szCs w:val="28"/>
          <w:lang w:bidi="zh-CN"/>
        </w:rPr>
        <w:t>50</w:t>
      </w:r>
      <w:r>
        <w:rPr>
          <w:rFonts w:cs="宋体" w:hint="eastAsia"/>
          <w:b w:val="0"/>
          <w:bCs w:val="0"/>
          <w:kern w:val="2"/>
          <w:szCs w:val="28"/>
          <w:lang w:bidi="zh-CN"/>
        </w:rPr>
        <w:t>米高排气筒排放。</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4#</w:t>
      </w:r>
      <w:r>
        <w:rPr>
          <w:rFonts w:cs="宋体" w:hint="eastAsia"/>
          <w:b w:val="0"/>
          <w:bCs w:val="0"/>
          <w:kern w:val="2"/>
          <w:szCs w:val="28"/>
          <w:lang w:bidi="zh-CN"/>
        </w:rPr>
        <w:t>、</w:t>
      </w:r>
      <w:r>
        <w:rPr>
          <w:rFonts w:cs="宋体" w:hint="eastAsia"/>
          <w:b w:val="0"/>
          <w:bCs w:val="0"/>
          <w:kern w:val="2"/>
          <w:szCs w:val="28"/>
          <w:lang w:bidi="zh-CN"/>
        </w:rPr>
        <w:t>5#</w:t>
      </w:r>
      <w:r>
        <w:rPr>
          <w:rFonts w:cs="宋体" w:hint="eastAsia"/>
          <w:b w:val="0"/>
          <w:bCs w:val="0"/>
          <w:kern w:val="2"/>
          <w:szCs w:val="28"/>
          <w:lang w:bidi="zh-CN"/>
        </w:rPr>
        <w:t>危废储存库储存过程中产生的废气（</w:t>
      </w:r>
      <w:r>
        <w:rPr>
          <w:rFonts w:cs="宋体" w:hint="eastAsia"/>
          <w:b w:val="0"/>
          <w:bCs w:val="0"/>
          <w:kern w:val="2"/>
          <w:szCs w:val="28"/>
          <w:lang w:bidi="zh-CN"/>
        </w:rPr>
        <w:t>HCl</w:t>
      </w:r>
      <w:r>
        <w:rPr>
          <w:rFonts w:cs="宋体" w:hint="eastAsia"/>
          <w:b w:val="0"/>
          <w:bCs w:val="0"/>
          <w:kern w:val="2"/>
          <w:szCs w:val="28"/>
          <w:lang w:bidi="zh-CN"/>
        </w:rPr>
        <w:t>、非甲烷总烃、</w:t>
      </w:r>
      <w:r>
        <w:rPr>
          <w:rFonts w:cs="宋体" w:hint="eastAsia"/>
          <w:b w:val="0"/>
          <w:bCs w:val="0"/>
          <w:kern w:val="2"/>
          <w:szCs w:val="28"/>
          <w:lang w:bidi="zh-CN"/>
        </w:rPr>
        <w:t>NH</w:t>
      </w:r>
      <w:r>
        <w:rPr>
          <w:rFonts w:cs="宋体" w:hint="eastAsia"/>
          <w:b w:val="0"/>
          <w:bCs w:val="0"/>
          <w:kern w:val="2"/>
          <w:szCs w:val="28"/>
          <w:vertAlign w:val="subscript"/>
          <w:lang w:bidi="zh-CN"/>
        </w:rPr>
        <w:t>3</w:t>
      </w:r>
      <w:r>
        <w:rPr>
          <w:rFonts w:cs="宋体" w:hint="eastAsia"/>
          <w:b w:val="0"/>
          <w:bCs w:val="0"/>
          <w:kern w:val="2"/>
          <w:szCs w:val="28"/>
          <w:lang w:bidi="zh-CN"/>
        </w:rPr>
        <w:t>、</w:t>
      </w:r>
      <w:r>
        <w:rPr>
          <w:rFonts w:cs="宋体" w:hint="eastAsia"/>
          <w:b w:val="0"/>
          <w:bCs w:val="0"/>
          <w:kern w:val="2"/>
          <w:szCs w:val="28"/>
          <w:lang w:bidi="zh-CN"/>
        </w:rPr>
        <w:t>H</w:t>
      </w:r>
      <w:r>
        <w:rPr>
          <w:rFonts w:cs="宋体" w:hint="eastAsia"/>
          <w:b w:val="0"/>
          <w:bCs w:val="0"/>
          <w:kern w:val="2"/>
          <w:szCs w:val="28"/>
          <w:vertAlign w:val="subscript"/>
          <w:lang w:bidi="zh-CN"/>
        </w:rPr>
        <w:t>2</w:t>
      </w:r>
      <w:r>
        <w:rPr>
          <w:rFonts w:cs="宋体" w:hint="eastAsia"/>
          <w:b w:val="0"/>
          <w:bCs w:val="0"/>
          <w:kern w:val="2"/>
          <w:szCs w:val="28"/>
          <w:lang w:bidi="zh-CN"/>
        </w:rPr>
        <w:t>S</w:t>
      </w:r>
      <w:r>
        <w:rPr>
          <w:rFonts w:cs="宋体" w:hint="eastAsia"/>
          <w:b w:val="0"/>
          <w:bCs w:val="0"/>
          <w:kern w:val="2"/>
          <w:szCs w:val="28"/>
          <w:lang w:bidi="zh-CN"/>
        </w:rPr>
        <w:t>）均采取封闭式结构，采用负压收集</w:t>
      </w:r>
      <w:r>
        <w:rPr>
          <w:rFonts w:cs="宋体" w:hint="eastAsia"/>
          <w:b w:val="0"/>
          <w:bCs w:val="0"/>
          <w:kern w:val="2"/>
          <w:szCs w:val="28"/>
          <w:lang w:bidi="zh-CN"/>
        </w:rPr>
        <w:t>+</w:t>
      </w:r>
      <w:r>
        <w:rPr>
          <w:rFonts w:cs="宋体" w:hint="eastAsia"/>
          <w:b w:val="0"/>
          <w:bCs w:val="0"/>
          <w:kern w:val="2"/>
          <w:szCs w:val="28"/>
          <w:lang w:bidi="zh-CN"/>
        </w:rPr>
        <w:t>活性炭吸附方式处理废气，之后经同一根</w:t>
      </w:r>
      <w:r>
        <w:rPr>
          <w:rFonts w:cs="宋体" w:hint="eastAsia"/>
          <w:b w:val="0"/>
          <w:bCs w:val="0"/>
          <w:kern w:val="2"/>
          <w:szCs w:val="28"/>
          <w:lang w:bidi="zh-CN"/>
        </w:rPr>
        <w:t>20m</w:t>
      </w:r>
      <w:r>
        <w:rPr>
          <w:rFonts w:cs="宋体" w:hint="eastAsia"/>
          <w:b w:val="0"/>
          <w:bCs w:val="0"/>
          <w:kern w:val="2"/>
          <w:szCs w:val="28"/>
          <w:lang w:bidi="zh-CN"/>
        </w:rPr>
        <w:t>高排气筒高空排放。</w:t>
      </w:r>
      <w:r>
        <w:rPr>
          <w:rFonts w:cs="宋体" w:hint="eastAsia"/>
          <w:b w:val="0"/>
          <w:bCs w:val="0"/>
          <w:kern w:val="2"/>
          <w:szCs w:val="28"/>
          <w:lang w:bidi="zh-CN"/>
        </w:rPr>
        <w:t>9#</w:t>
      </w:r>
      <w:r>
        <w:rPr>
          <w:rFonts w:cs="宋体" w:hint="eastAsia"/>
          <w:b w:val="0"/>
          <w:bCs w:val="0"/>
          <w:kern w:val="2"/>
          <w:szCs w:val="28"/>
          <w:lang w:bidi="zh-CN"/>
        </w:rPr>
        <w:t>危险废物储存库同样采取封闭式结构，用负压收集</w:t>
      </w:r>
      <w:r>
        <w:rPr>
          <w:rFonts w:cs="宋体" w:hint="eastAsia"/>
          <w:b w:val="0"/>
          <w:bCs w:val="0"/>
          <w:kern w:val="2"/>
          <w:szCs w:val="28"/>
          <w:lang w:bidi="zh-CN"/>
        </w:rPr>
        <w:t>+</w:t>
      </w:r>
      <w:r>
        <w:rPr>
          <w:rFonts w:cs="宋体" w:hint="eastAsia"/>
          <w:b w:val="0"/>
          <w:bCs w:val="0"/>
          <w:kern w:val="2"/>
          <w:szCs w:val="28"/>
          <w:lang w:bidi="zh-CN"/>
        </w:rPr>
        <w:t>活性炭吸附方式处理废气，之后经</w:t>
      </w:r>
      <w:r>
        <w:rPr>
          <w:rFonts w:cs="宋体" w:hint="eastAsia"/>
          <w:b w:val="0"/>
          <w:bCs w:val="0"/>
          <w:kern w:val="2"/>
          <w:szCs w:val="28"/>
          <w:lang w:bidi="zh-CN"/>
        </w:rPr>
        <w:t>20m</w:t>
      </w:r>
      <w:r>
        <w:rPr>
          <w:rFonts w:cs="宋体" w:hint="eastAsia"/>
          <w:b w:val="0"/>
          <w:bCs w:val="0"/>
          <w:kern w:val="2"/>
          <w:szCs w:val="28"/>
          <w:lang w:bidi="zh-CN"/>
        </w:rPr>
        <w:t>高排气筒排放。</w:t>
      </w:r>
    </w:p>
    <w:p w:rsidR="002E0378" w:rsidRDefault="005C380A">
      <w:pPr>
        <w:spacing w:line="360" w:lineRule="auto"/>
        <w:rPr>
          <w:rFonts w:ascii="Times New Roman" w:hAnsi="Times New Roman" w:cs="宋体"/>
          <w:sz w:val="24"/>
          <w:szCs w:val="28"/>
          <w:lang w:bidi="zh-CN"/>
        </w:rPr>
      </w:pPr>
      <w:r>
        <w:rPr>
          <w:rFonts w:ascii="Times New Roman" w:hAnsi="Times New Roman" w:cs="宋体" w:hint="eastAsia"/>
          <w:sz w:val="24"/>
          <w:szCs w:val="28"/>
          <w:lang w:bidi="zh-CN"/>
        </w:rPr>
        <w:t xml:space="preserve"> </w:t>
      </w:r>
      <w:r>
        <w:rPr>
          <w:rFonts w:ascii="Times New Roman" w:hAnsi="Times New Roman" w:cs="宋体" w:hint="eastAsia"/>
          <w:sz w:val="24"/>
          <w:szCs w:val="28"/>
          <w:lang w:bidi="zh-CN"/>
        </w:rPr>
        <w:t>污水处理站采取了封闭式结构，恶臭气体经收集、活性炭吸附处理后经</w:t>
      </w:r>
      <w:r>
        <w:rPr>
          <w:rFonts w:ascii="Times New Roman" w:hAnsi="Times New Roman" w:cs="宋体" w:hint="eastAsia"/>
          <w:sz w:val="24"/>
          <w:szCs w:val="28"/>
          <w:lang w:bidi="zh-CN"/>
        </w:rPr>
        <w:t xml:space="preserve">15m </w:t>
      </w:r>
    </w:p>
    <w:p w:rsidR="002E0378" w:rsidRDefault="005C380A">
      <w:pPr>
        <w:spacing w:line="360" w:lineRule="auto"/>
        <w:jc w:val="both"/>
        <w:rPr>
          <w:rFonts w:ascii="Times New Roman" w:hAnsi="Times New Roman" w:cs="宋体"/>
          <w:sz w:val="24"/>
          <w:szCs w:val="28"/>
          <w:lang w:bidi="zh-CN"/>
        </w:rPr>
      </w:pPr>
      <w:r>
        <w:rPr>
          <w:rFonts w:ascii="Times New Roman" w:hAnsi="Times New Roman" w:cs="宋体" w:hint="eastAsia"/>
          <w:sz w:val="24"/>
          <w:szCs w:val="28"/>
          <w:lang w:bidi="zh-CN"/>
        </w:rPr>
        <w:t>高排气筒高空排放。</w:t>
      </w:r>
    </w:p>
    <w:p w:rsidR="002E0378" w:rsidRDefault="002E0378"/>
    <w:p w:rsidR="002E0378" w:rsidRDefault="002E0378">
      <w:pPr>
        <w:pStyle w:val="112"/>
      </w:pPr>
    </w:p>
    <w:p w:rsidR="002E0378" w:rsidRDefault="002E0378">
      <w:pPr>
        <w:pStyle w:val="112"/>
      </w:pPr>
    </w:p>
    <w:p w:rsidR="002E0378" w:rsidRDefault="002E0378">
      <w:pPr>
        <w:pStyle w:val="112"/>
      </w:pPr>
    </w:p>
    <w:p w:rsidR="002E0378" w:rsidRDefault="005C380A">
      <w:pPr>
        <w:pStyle w:val="3"/>
      </w:pPr>
      <w:r>
        <w:rPr>
          <w:rFonts w:hint="eastAsia"/>
        </w:rPr>
        <w:lastRenderedPageBreak/>
        <w:t xml:space="preserve">2.6.2 </w:t>
      </w:r>
      <w:r>
        <w:rPr>
          <w:rFonts w:hint="eastAsia"/>
        </w:rPr>
        <w:t>废水</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本项目废水主要包括物</w:t>
      </w:r>
      <w:r>
        <w:rPr>
          <w:rFonts w:cs="宋体" w:hint="eastAsia"/>
          <w:b w:val="0"/>
          <w:bCs w:val="0"/>
          <w:kern w:val="2"/>
          <w:szCs w:val="28"/>
          <w:lang w:bidi="zh-CN"/>
        </w:rPr>
        <w:t>/</w:t>
      </w:r>
      <w:r>
        <w:rPr>
          <w:rFonts w:cs="宋体" w:hint="eastAsia"/>
          <w:b w:val="0"/>
          <w:bCs w:val="0"/>
          <w:kern w:val="2"/>
          <w:szCs w:val="28"/>
          <w:lang w:bidi="zh-CN"/>
        </w:rPr>
        <w:t>化车间废水、厂区雨水、填埋场渗滤液、车间地面冲洗、化验污水，以及回转窑软水车间和余热锅炉排水、回转窑湿法脱酸塔废水及喷淋消毒间废水等。生产厂区雨水通过雨水管网收集后进入雨水收集池，连同填埋渗滤液、物</w:t>
      </w:r>
      <w:r>
        <w:rPr>
          <w:rFonts w:cs="宋体" w:hint="eastAsia"/>
          <w:b w:val="0"/>
          <w:bCs w:val="0"/>
          <w:kern w:val="2"/>
          <w:szCs w:val="28"/>
          <w:lang w:bidi="zh-CN"/>
        </w:rPr>
        <w:t>/</w:t>
      </w:r>
      <w:r>
        <w:rPr>
          <w:rFonts w:cs="宋体" w:hint="eastAsia"/>
          <w:b w:val="0"/>
          <w:bCs w:val="0"/>
          <w:kern w:val="2"/>
          <w:szCs w:val="28"/>
          <w:lang w:bidi="zh-CN"/>
        </w:rPr>
        <w:t>化车间预处理后的物化尾水以及其他生产污水等一并收集于调节池进行均质，再经提升泵送往混凝沉淀池，在混凝沉淀池中加入氢氧化钠溶液调节</w:t>
      </w:r>
      <w:r>
        <w:rPr>
          <w:rFonts w:cs="宋体" w:hint="eastAsia"/>
          <w:b w:val="0"/>
          <w:bCs w:val="0"/>
          <w:kern w:val="2"/>
          <w:szCs w:val="28"/>
          <w:lang w:bidi="zh-CN"/>
        </w:rPr>
        <w:t>pH</w:t>
      </w:r>
      <w:r>
        <w:rPr>
          <w:rFonts w:cs="宋体" w:hint="eastAsia"/>
          <w:b w:val="0"/>
          <w:bCs w:val="0"/>
          <w:kern w:val="2"/>
          <w:szCs w:val="28"/>
          <w:lang w:bidi="zh-CN"/>
        </w:rPr>
        <w:t>，然后依次加入聚合氯化铝（</w:t>
      </w:r>
      <w:r>
        <w:rPr>
          <w:rFonts w:cs="宋体" w:hint="eastAsia"/>
          <w:b w:val="0"/>
          <w:bCs w:val="0"/>
          <w:kern w:val="2"/>
          <w:szCs w:val="28"/>
          <w:lang w:bidi="zh-CN"/>
        </w:rPr>
        <w:t>PAC</w:t>
      </w:r>
      <w:r>
        <w:rPr>
          <w:rFonts w:cs="宋体" w:hint="eastAsia"/>
          <w:b w:val="0"/>
          <w:bCs w:val="0"/>
          <w:kern w:val="2"/>
          <w:szCs w:val="28"/>
          <w:lang w:bidi="zh-CN"/>
        </w:rPr>
        <w:t>）和聚丙烯酰胺（</w:t>
      </w:r>
      <w:r>
        <w:rPr>
          <w:rFonts w:cs="宋体" w:hint="eastAsia"/>
          <w:b w:val="0"/>
          <w:bCs w:val="0"/>
          <w:kern w:val="2"/>
          <w:szCs w:val="28"/>
          <w:lang w:bidi="zh-CN"/>
        </w:rPr>
        <w:t>PAM</w:t>
      </w:r>
      <w:r>
        <w:rPr>
          <w:rFonts w:cs="宋体" w:hint="eastAsia"/>
          <w:b w:val="0"/>
          <w:bCs w:val="0"/>
          <w:kern w:val="2"/>
          <w:szCs w:val="28"/>
          <w:lang w:bidi="zh-CN"/>
        </w:rPr>
        <w:t>），废水经沉</w:t>
      </w:r>
      <w:r>
        <w:rPr>
          <w:rFonts w:cs="宋体" w:hint="eastAsia"/>
          <w:b w:val="0"/>
          <w:bCs w:val="0"/>
          <w:kern w:val="2"/>
          <w:szCs w:val="28"/>
          <w:lang w:bidi="zh-CN"/>
        </w:rPr>
        <w:t xml:space="preserve"> </w:t>
      </w:r>
      <w:r>
        <w:rPr>
          <w:rFonts w:cs="宋体" w:hint="eastAsia"/>
          <w:b w:val="0"/>
          <w:bCs w:val="0"/>
          <w:kern w:val="2"/>
          <w:szCs w:val="28"/>
          <w:lang w:bidi="zh-CN"/>
        </w:rPr>
        <w:t>淀后加入二氧化氯水溶液进行消毒，消毒后废水排入缓冲池，检验废水符合接管</w:t>
      </w:r>
      <w:r>
        <w:rPr>
          <w:rFonts w:cs="宋体" w:hint="eastAsia"/>
          <w:b w:val="0"/>
          <w:bCs w:val="0"/>
          <w:kern w:val="2"/>
          <w:szCs w:val="28"/>
          <w:lang w:bidi="zh-CN"/>
        </w:rPr>
        <w:t xml:space="preserve"> </w:t>
      </w:r>
      <w:r>
        <w:rPr>
          <w:rFonts w:cs="宋体" w:hint="eastAsia"/>
          <w:b w:val="0"/>
          <w:bCs w:val="0"/>
          <w:kern w:val="2"/>
          <w:szCs w:val="28"/>
          <w:lang w:bidi="zh-CN"/>
        </w:rPr>
        <w:t>标准后经管网排入吉化污水处理厂做进一步处理；检验不合格废水打入调节池重</w:t>
      </w:r>
      <w:r>
        <w:rPr>
          <w:rFonts w:cs="宋体" w:hint="eastAsia"/>
          <w:b w:val="0"/>
          <w:bCs w:val="0"/>
          <w:kern w:val="2"/>
          <w:szCs w:val="28"/>
          <w:lang w:bidi="zh-CN"/>
        </w:rPr>
        <w:t xml:space="preserve"> </w:t>
      </w:r>
      <w:r>
        <w:rPr>
          <w:rFonts w:cs="宋体" w:hint="eastAsia"/>
          <w:b w:val="0"/>
          <w:bCs w:val="0"/>
          <w:kern w:val="2"/>
          <w:szCs w:val="28"/>
          <w:lang w:bidi="zh-CN"/>
        </w:rPr>
        <w:t>新处理。而产生的污泥通过离心脱水机脱水后送至稳定化</w:t>
      </w:r>
      <w:r>
        <w:rPr>
          <w:rFonts w:cs="宋体" w:hint="eastAsia"/>
          <w:b w:val="0"/>
          <w:bCs w:val="0"/>
          <w:kern w:val="2"/>
          <w:szCs w:val="28"/>
          <w:lang w:bidi="zh-CN"/>
        </w:rPr>
        <w:t>/</w:t>
      </w:r>
      <w:r>
        <w:rPr>
          <w:rFonts w:cs="宋体" w:hint="eastAsia"/>
          <w:b w:val="0"/>
          <w:bCs w:val="0"/>
          <w:kern w:val="2"/>
          <w:szCs w:val="28"/>
          <w:lang w:bidi="zh-CN"/>
        </w:rPr>
        <w:t>固化车间固化填埋处</w:t>
      </w:r>
      <w:r>
        <w:rPr>
          <w:rFonts w:cs="宋体" w:hint="eastAsia"/>
          <w:b w:val="0"/>
          <w:bCs w:val="0"/>
          <w:kern w:val="2"/>
          <w:szCs w:val="28"/>
          <w:lang w:bidi="zh-CN"/>
        </w:rPr>
        <w:t xml:space="preserve"> </w:t>
      </w:r>
      <w:r>
        <w:rPr>
          <w:rFonts w:cs="宋体" w:hint="eastAsia"/>
          <w:b w:val="0"/>
          <w:bCs w:val="0"/>
          <w:kern w:val="2"/>
          <w:szCs w:val="28"/>
          <w:lang w:bidi="zh-CN"/>
        </w:rPr>
        <w:t>理。</w:t>
      </w:r>
    </w:p>
    <w:p w:rsidR="002E0378" w:rsidRDefault="005C380A">
      <w:pPr>
        <w:pStyle w:val="3"/>
      </w:pPr>
      <w:r>
        <w:rPr>
          <w:rFonts w:hint="eastAsia"/>
        </w:rPr>
        <w:t xml:space="preserve">2.6.3 </w:t>
      </w:r>
      <w:r>
        <w:rPr>
          <w:rFonts w:hint="eastAsia"/>
        </w:rPr>
        <w:t>噪声</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设备产生的噪声对区域声环境有一定影响，但厂界处环境噪声均可满足标准要求。因此只要对建设项目主要噪声源采取良好的隔声、消音、减震等措施后，厂内噪声源对厂界外声环境质量现状影响不大。</w:t>
      </w:r>
    </w:p>
    <w:p w:rsidR="002E0378" w:rsidRDefault="005C380A">
      <w:pPr>
        <w:pStyle w:val="3"/>
      </w:pPr>
      <w:r>
        <w:rPr>
          <w:rFonts w:hint="eastAsia"/>
        </w:rPr>
        <w:t xml:space="preserve">2.6.4 </w:t>
      </w:r>
      <w:r>
        <w:rPr>
          <w:rFonts w:hint="eastAsia"/>
        </w:rPr>
        <w:t>固体废物</w:t>
      </w:r>
    </w:p>
    <w:p w:rsidR="002E0378" w:rsidRDefault="005C380A">
      <w:pPr>
        <w:spacing w:line="360" w:lineRule="auto"/>
        <w:ind w:firstLineChars="200" w:firstLine="480"/>
        <w:jc w:val="left"/>
        <w:rPr>
          <w:rFonts w:ascii="Times New Roman" w:hAnsi="Times New Roman" w:cs="宋体"/>
          <w:sz w:val="24"/>
          <w:szCs w:val="28"/>
          <w:lang w:bidi="zh-CN"/>
        </w:rPr>
      </w:pPr>
      <w:bookmarkStart w:id="39" w:name="_Toc22018"/>
      <w:r>
        <w:rPr>
          <w:rFonts w:ascii="Times New Roman" w:hAnsi="Times New Roman" w:cs="宋体" w:hint="eastAsia"/>
          <w:sz w:val="24"/>
          <w:szCs w:val="28"/>
          <w:lang w:bidi="zh-CN"/>
        </w:rPr>
        <w:t>本公司固体废物主要是危险废物焚烧车间产生的炉渣、飞灰依托厂区现有安</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全填埋场安全填埋；废气处理产生的废活性炭、软化水车间产生的废树脂、设备</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检修过程产生的废机油及化验室化验产生的废液，利用本项目焚烧处置；废包装</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袋送往焚烧车间焚烧处理。</w:t>
      </w:r>
    </w:p>
    <w:p w:rsidR="002E0378" w:rsidRDefault="002E0378">
      <w:pPr>
        <w:pStyle w:val="a4"/>
        <w:ind w:firstLine="480"/>
        <w:rPr>
          <w:lang w:val="en-US"/>
        </w:rPr>
      </w:pPr>
      <w:bookmarkStart w:id="40" w:name="_Toc30124"/>
      <w:bookmarkEnd w:id="39"/>
    </w:p>
    <w:bookmarkEnd w:id="40"/>
    <w:p w:rsidR="002E0378" w:rsidRDefault="002E0378">
      <w:pPr>
        <w:ind w:firstLine="560"/>
        <w:rPr>
          <w:rFonts w:ascii="宋体" w:hAnsi="宋体" w:cs="宋体"/>
          <w:sz w:val="28"/>
          <w:szCs w:val="28"/>
          <w:u w:val="single"/>
        </w:rPr>
      </w:pPr>
    </w:p>
    <w:p w:rsidR="002E0378" w:rsidRDefault="002E0378">
      <w:pPr>
        <w:rPr>
          <w:rFonts w:ascii="宋体" w:hAnsi="宋体" w:cs="宋体"/>
          <w:sz w:val="24"/>
          <w:szCs w:val="24"/>
        </w:rPr>
      </w:pPr>
    </w:p>
    <w:p w:rsidR="002E0378" w:rsidRDefault="002E0378">
      <w:pPr>
        <w:adjustRightInd w:val="0"/>
        <w:snapToGrid w:val="0"/>
        <w:spacing w:line="360" w:lineRule="auto"/>
        <w:rPr>
          <w:rFonts w:ascii="宋体" w:hAnsi="宋体" w:cs="宋体"/>
          <w:sz w:val="24"/>
          <w:szCs w:val="24"/>
        </w:rPr>
        <w:sectPr w:rsidR="002E0378">
          <w:footerReference w:type="default" r:id="rId23"/>
          <w:pgSz w:w="12240" w:h="15840"/>
          <w:pgMar w:top="1440" w:right="1800" w:bottom="1440" w:left="1800" w:header="720" w:footer="720" w:gutter="0"/>
          <w:cols w:space="720"/>
          <w:docGrid w:type="lines" w:linePitch="312"/>
        </w:sectPr>
      </w:pPr>
    </w:p>
    <w:p w:rsidR="002E0378" w:rsidRDefault="005C380A">
      <w:pPr>
        <w:pStyle w:val="1"/>
        <w:rPr>
          <w:rFonts w:ascii="宋体" w:hAnsi="宋体" w:cs="宋体"/>
        </w:rPr>
      </w:pPr>
      <w:bookmarkStart w:id="41" w:name="_Toc9560"/>
      <w:bookmarkStart w:id="42" w:name="_Toc8333"/>
      <w:r>
        <w:rPr>
          <w:rFonts w:hint="eastAsia"/>
        </w:rPr>
        <w:lastRenderedPageBreak/>
        <w:t xml:space="preserve">3 </w:t>
      </w:r>
      <w:r>
        <w:rPr>
          <w:rFonts w:hint="eastAsia"/>
        </w:rPr>
        <w:t>排查方法</w:t>
      </w:r>
      <w:bookmarkEnd w:id="41"/>
      <w:bookmarkEnd w:id="42"/>
    </w:p>
    <w:p w:rsidR="002E0378" w:rsidRDefault="005C380A">
      <w:pPr>
        <w:pStyle w:val="2"/>
        <w:rPr>
          <w:rFonts w:ascii="宋体" w:hAnsi="宋体" w:cs="宋体"/>
        </w:rPr>
      </w:pPr>
      <w:bookmarkStart w:id="43" w:name="_Toc14621"/>
      <w:bookmarkStart w:id="44" w:name="_Toc29187"/>
      <w:r>
        <w:rPr>
          <w:rFonts w:hint="eastAsia"/>
        </w:rPr>
        <w:t xml:space="preserve">3.1 </w:t>
      </w:r>
      <w:r>
        <w:rPr>
          <w:rFonts w:hint="eastAsia"/>
        </w:rPr>
        <w:t>资料收集</w:t>
      </w:r>
      <w:bookmarkEnd w:id="43"/>
      <w:bookmarkEnd w:id="44"/>
    </w:p>
    <w:p w:rsidR="002E0378" w:rsidRDefault="005C380A">
      <w:pPr>
        <w:pStyle w:val="a4"/>
        <w:ind w:firstLine="480"/>
      </w:pPr>
      <w:r>
        <w:rPr>
          <w:rFonts w:hint="eastAsia"/>
        </w:rPr>
        <w:t>企业收集环保相关文件或资料：</w:t>
      </w:r>
    </w:p>
    <w:p w:rsidR="002E0378" w:rsidRDefault="005C380A">
      <w:pPr>
        <w:pStyle w:val="a4"/>
        <w:ind w:firstLine="480"/>
      </w:pPr>
      <w:r>
        <w:rPr>
          <w:rFonts w:hint="eastAsia"/>
          <w:lang w:val="en-US"/>
        </w:rPr>
        <w:t>1</w:t>
      </w:r>
      <w:r>
        <w:rPr>
          <w:rFonts w:hint="eastAsia"/>
          <w:lang w:val="en-US"/>
        </w:rPr>
        <w:t>、</w:t>
      </w:r>
      <w:r>
        <w:rPr>
          <w:rFonts w:hint="eastAsia"/>
        </w:rPr>
        <w:t>企业基本信息：企业名称、法定代表人、地址、地理位置、企业类型、企业规模、营业期限、行业类别、行业代码、所属工业企业基本信息园区或集聚区、地块面积、现使用权属等。</w:t>
      </w:r>
    </w:p>
    <w:p w:rsidR="002E0378" w:rsidRDefault="005C380A">
      <w:pPr>
        <w:pStyle w:val="a4"/>
        <w:ind w:firstLine="480"/>
      </w:pPr>
      <w:r>
        <w:rPr>
          <w:rFonts w:hint="eastAsia"/>
          <w:lang w:val="en-US"/>
        </w:rPr>
        <w:t>2</w:t>
      </w:r>
      <w:r>
        <w:rPr>
          <w:rFonts w:hint="eastAsia"/>
          <w:lang w:val="en-US"/>
        </w:rPr>
        <w:t>、</w:t>
      </w:r>
      <w:r>
        <w:rPr>
          <w:rFonts w:hint="eastAsia"/>
        </w:rPr>
        <w:t>所在地块环境信息：地形地貌、地质与水文地质特征、周边企业等。</w:t>
      </w:r>
      <w:r>
        <w:rPr>
          <w:rFonts w:hint="eastAsia"/>
        </w:rPr>
        <w:t xml:space="preserve"> </w:t>
      </w:r>
    </w:p>
    <w:p w:rsidR="002E0378" w:rsidRDefault="005C380A">
      <w:pPr>
        <w:pStyle w:val="a4"/>
        <w:ind w:firstLine="480"/>
      </w:pPr>
      <w:r>
        <w:rPr>
          <w:rFonts w:hint="eastAsia"/>
          <w:lang w:val="en-US"/>
        </w:rPr>
        <w:t>3</w:t>
      </w:r>
      <w:r>
        <w:rPr>
          <w:rFonts w:hint="eastAsia"/>
          <w:lang w:val="en-US"/>
        </w:rPr>
        <w:t>、</w:t>
      </w:r>
      <w:r>
        <w:rPr>
          <w:rFonts w:hint="eastAsia"/>
        </w:rPr>
        <w:t>已有环保相关信息：建设项目环境影响报告书、清洁生产报告、排污许可证、环境审计报告、突发环境事件风险评估报告、竣工环保验收报告、环保设施运行台账、土壤和地下水环境调查监测数据、历史污染记录、已有的隐患排查及整改台账等。</w:t>
      </w:r>
    </w:p>
    <w:p w:rsidR="002E0378" w:rsidRDefault="005C380A">
      <w:pPr>
        <w:pStyle w:val="a4"/>
        <w:ind w:firstLine="480"/>
      </w:pPr>
      <w:r>
        <w:rPr>
          <w:rFonts w:hint="eastAsia"/>
          <w:lang w:val="en-US"/>
        </w:rPr>
        <w:t>4</w:t>
      </w:r>
      <w:r>
        <w:rPr>
          <w:rFonts w:hint="eastAsia"/>
          <w:lang w:val="en-US"/>
        </w:rPr>
        <w:t>、</w:t>
      </w:r>
      <w:r>
        <w:rPr>
          <w:rFonts w:hint="eastAsia"/>
        </w:rPr>
        <w:t>生产活动相关信息：生产区、储存区、废水治理区、固体废物贮存或处置区等重点区域设备设施平面布置图及设施设备防渗漏设计安装信息；工艺流程图；原辅材料、主要产品及副产品清单；化学品储存和使用清单；设备运行台账；废气、废水收集、处理及排放情况；固体废物产生、贮存、利用和处理处置等情况；环境应急预案；环境应急物资清单等。</w:t>
      </w:r>
    </w:p>
    <w:p w:rsidR="002E0378" w:rsidRDefault="005C380A">
      <w:pPr>
        <w:pStyle w:val="a4"/>
        <w:ind w:firstLine="480"/>
      </w:pPr>
      <w:r>
        <w:rPr>
          <w:rFonts w:hint="eastAsia"/>
          <w:lang w:val="en-US"/>
        </w:rPr>
        <w:t>5</w:t>
      </w:r>
      <w:r>
        <w:rPr>
          <w:rFonts w:hint="eastAsia"/>
          <w:lang w:val="en-US"/>
        </w:rPr>
        <w:t>、</w:t>
      </w:r>
      <w:r>
        <w:rPr>
          <w:rFonts w:hint="eastAsia"/>
        </w:rPr>
        <w:t>重点设施设备及重点区域管理信息：重点设施、设备的定期维护情况；重点设施、设备的操作手册、人员培训情况；重点区域的警示牌、操作规程的设定情况。</w:t>
      </w:r>
    </w:p>
    <w:p w:rsidR="002E0378" w:rsidRDefault="005C380A">
      <w:pPr>
        <w:pStyle w:val="2"/>
        <w:rPr>
          <w:rFonts w:ascii="宋体" w:hAnsi="宋体" w:cs="宋体"/>
          <w:szCs w:val="28"/>
        </w:rPr>
      </w:pPr>
      <w:bookmarkStart w:id="45" w:name="_Toc25787"/>
      <w:bookmarkStart w:id="46" w:name="_Toc5715"/>
      <w:r>
        <w:rPr>
          <w:rFonts w:hint="eastAsia"/>
        </w:rPr>
        <w:t xml:space="preserve">3.2 </w:t>
      </w:r>
      <w:r>
        <w:rPr>
          <w:rFonts w:hint="eastAsia"/>
        </w:rPr>
        <w:t>人员访谈</w:t>
      </w:r>
      <w:bookmarkEnd w:id="45"/>
      <w:bookmarkEnd w:id="46"/>
    </w:p>
    <w:p w:rsidR="002E0378" w:rsidRDefault="005C380A">
      <w:pPr>
        <w:pStyle w:val="a4"/>
        <w:ind w:firstLine="480"/>
      </w:pPr>
      <w:r>
        <w:rPr>
          <w:rFonts w:hint="eastAsia"/>
        </w:rPr>
        <w:t>为了更好的了解场地的历史和现状，对企业工作人员进行了访谈，访谈问题与情况具体总结如下：</w:t>
      </w:r>
    </w:p>
    <w:p w:rsidR="002E0378" w:rsidRDefault="005C380A">
      <w:pPr>
        <w:pStyle w:val="a4"/>
        <w:ind w:firstLine="480"/>
      </w:pPr>
      <w:r>
        <w:rPr>
          <w:rFonts w:hint="eastAsia"/>
          <w:lang w:val="en-US"/>
        </w:rPr>
        <w:t>1</w:t>
      </w:r>
      <w:r>
        <w:rPr>
          <w:rFonts w:hint="eastAsia"/>
          <w:lang w:val="en-US"/>
        </w:rPr>
        <w:t>、</w:t>
      </w:r>
      <w:r>
        <w:rPr>
          <w:rFonts w:hint="eastAsia"/>
        </w:rPr>
        <w:t>根据现场走访调查及历史资料收集情况，项目地块内未发生过泄漏事故。</w:t>
      </w:r>
    </w:p>
    <w:p w:rsidR="002E0378" w:rsidRDefault="005C380A">
      <w:pPr>
        <w:pStyle w:val="a4"/>
        <w:ind w:firstLine="480"/>
      </w:pPr>
      <w:r>
        <w:rPr>
          <w:rFonts w:hint="eastAsia"/>
          <w:lang w:val="en-US"/>
        </w:rPr>
        <w:t>2</w:t>
      </w:r>
      <w:r>
        <w:rPr>
          <w:rFonts w:hint="eastAsia"/>
          <w:lang w:val="en-US"/>
        </w:rPr>
        <w:t>、是否设有</w:t>
      </w:r>
      <w:r>
        <w:rPr>
          <w:rFonts w:hint="eastAsia"/>
        </w:rPr>
        <w:t>围堰，地面是否进行防渗处理，生产区地面硬化处理。</w:t>
      </w:r>
    </w:p>
    <w:p w:rsidR="002E0378" w:rsidRDefault="005C380A">
      <w:pPr>
        <w:pStyle w:val="a4"/>
        <w:ind w:firstLine="480"/>
      </w:pPr>
      <w:r>
        <w:rPr>
          <w:rFonts w:hint="eastAsia"/>
        </w:rPr>
        <w:lastRenderedPageBreak/>
        <w:t>现场人员访谈记录表详见附件。</w:t>
      </w:r>
    </w:p>
    <w:p w:rsidR="002E0378" w:rsidRDefault="005C380A">
      <w:pPr>
        <w:pStyle w:val="2"/>
        <w:rPr>
          <w:rFonts w:ascii="宋体" w:hAnsi="宋体" w:cs="宋体"/>
          <w:szCs w:val="28"/>
        </w:rPr>
      </w:pPr>
      <w:bookmarkStart w:id="47" w:name="_Toc25881"/>
      <w:bookmarkStart w:id="48" w:name="_Toc26737"/>
      <w:r>
        <w:rPr>
          <w:rFonts w:hint="eastAsia"/>
        </w:rPr>
        <w:t xml:space="preserve">3.3 </w:t>
      </w:r>
      <w:r>
        <w:rPr>
          <w:rFonts w:hint="eastAsia"/>
        </w:rPr>
        <w:t>重点场所或重点设施设备确定</w:t>
      </w:r>
      <w:bookmarkEnd w:id="47"/>
      <w:bookmarkEnd w:id="48"/>
      <w:r>
        <w:rPr>
          <w:rFonts w:hint="eastAsia"/>
        </w:rPr>
        <w:t xml:space="preserve"> </w:t>
      </w:r>
    </w:p>
    <w:p w:rsidR="002E0378" w:rsidRDefault="005C380A">
      <w:pPr>
        <w:pStyle w:val="a4"/>
        <w:ind w:firstLine="480"/>
      </w:pPr>
      <w:r>
        <w:rPr>
          <w:rFonts w:hint="eastAsia"/>
        </w:rPr>
        <w:t>根据企业提供的资料以及现场踏勘，</w:t>
      </w:r>
      <w:bookmarkStart w:id="49" w:name="_Toc253152930"/>
      <w:bookmarkStart w:id="50" w:name="_Toc471887398"/>
      <w:r>
        <w:rPr>
          <w:rFonts w:hint="eastAsia"/>
        </w:rPr>
        <w:t>确定本次排查的重点场所或者重点设施设备详见下表。</w:t>
      </w:r>
    </w:p>
    <w:p w:rsidR="002E0378" w:rsidRDefault="005C380A">
      <w:pPr>
        <w:pStyle w:val="a4"/>
        <w:ind w:firstLineChars="0" w:firstLine="0"/>
        <w:jc w:val="center"/>
      </w:pPr>
      <w:r>
        <w:rPr>
          <w:rFonts w:hint="eastAsia"/>
          <w:b/>
          <w:bCs/>
        </w:rPr>
        <w:t>表</w:t>
      </w:r>
      <w:r>
        <w:rPr>
          <w:rFonts w:hint="eastAsia"/>
          <w:b/>
          <w:bCs/>
        </w:rPr>
        <w:t xml:space="preserve">3-1 </w:t>
      </w:r>
      <w:r>
        <w:rPr>
          <w:rFonts w:cs="Times New Roman"/>
          <w:b/>
          <w:bCs/>
          <w:szCs w:val="32"/>
        </w:rPr>
        <w:t>重点监测单元识别一览表</w:t>
      </w:r>
      <w:r>
        <w:rPr>
          <w:rFonts w:hint="eastAsia"/>
          <w:b/>
          <w:bCs/>
        </w:rPr>
        <w:t xml:space="preserve"> </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810"/>
        <w:gridCol w:w="2206"/>
        <w:gridCol w:w="1887"/>
        <w:gridCol w:w="3364"/>
      </w:tblGrid>
      <w:tr w:rsidR="002E0378">
        <w:trPr>
          <w:trHeight w:val="309"/>
        </w:trPr>
        <w:tc>
          <w:tcPr>
            <w:tcW w:w="330"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序号</w:t>
            </w:r>
          </w:p>
        </w:tc>
        <w:tc>
          <w:tcPr>
            <w:tcW w:w="457"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编号</w:t>
            </w:r>
          </w:p>
        </w:tc>
        <w:tc>
          <w:tcPr>
            <w:tcW w:w="1246"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重点单元名称</w:t>
            </w:r>
          </w:p>
        </w:tc>
        <w:tc>
          <w:tcPr>
            <w:tcW w:w="1066"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功能区划分</w:t>
            </w:r>
          </w:p>
        </w:tc>
        <w:tc>
          <w:tcPr>
            <w:tcW w:w="1899" w:type="pct"/>
            <w:shd w:val="clear" w:color="auto" w:fill="auto"/>
            <w:vAlign w:val="center"/>
          </w:tcPr>
          <w:p w:rsidR="002E0378" w:rsidRDefault="005C380A">
            <w:pPr>
              <w:adjustRightInd w:val="0"/>
              <w:snapToGrid w:val="0"/>
              <w:rPr>
                <w:rFonts w:ascii="Times New Roman" w:hAnsi="Times New Roman"/>
                <w:b/>
                <w:kern w:val="0"/>
              </w:rPr>
            </w:pPr>
            <w:r>
              <w:rPr>
                <w:rFonts w:ascii="Times New Roman" w:hAnsi="Times New Roman"/>
                <w:b/>
                <w:kern w:val="0"/>
              </w:rPr>
              <w:t>识别依据</w:t>
            </w:r>
          </w:p>
        </w:tc>
      </w:tr>
      <w:tr w:rsidR="002E0378">
        <w:trPr>
          <w:trHeight w:val="949"/>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1</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A</w:t>
            </w:r>
          </w:p>
        </w:tc>
        <w:tc>
          <w:tcPr>
            <w:tcW w:w="1246" w:type="pct"/>
            <w:vAlign w:val="center"/>
          </w:tcPr>
          <w:p w:rsidR="002E0378" w:rsidRDefault="005C380A">
            <w:pPr>
              <w:adjustRightInd w:val="0"/>
              <w:snapToGrid w:val="0"/>
              <w:rPr>
                <w:rFonts w:ascii="Times New Roman" w:hAnsi="Times New Roman"/>
                <w:kern w:val="0"/>
              </w:rPr>
            </w:pPr>
            <w:r>
              <w:rPr>
                <w:rFonts w:ascii="Times New Roman" w:eastAsiaTheme="minorEastAsia" w:hAnsi="Times New Roman"/>
              </w:rPr>
              <w:t>填埋区</w:t>
            </w:r>
          </w:p>
        </w:tc>
        <w:tc>
          <w:tcPr>
            <w:tcW w:w="1066" w:type="pct"/>
            <w:vAlign w:val="center"/>
          </w:tcPr>
          <w:p w:rsidR="002E0378" w:rsidRDefault="005C380A">
            <w:pPr>
              <w:adjustRightInd w:val="0"/>
              <w:snapToGrid w:val="0"/>
              <w:rPr>
                <w:rFonts w:ascii="Times New Roman" w:hAnsi="Times New Roman"/>
              </w:rPr>
            </w:pPr>
            <w:r>
              <w:rPr>
                <w:rFonts w:ascii="Times New Roman" w:hAnsi="Times New Roman"/>
                <w:kern w:val="0"/>
              </w:rPr>
              <w:t>填埋区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此区域属于固体废物填埋区域，可能通过渗漏等对迁移到地下水及土壤中。</w:t>
            </w:r>
          </w:p>
        </w:tc>
      </w:tr>
      <w:tr w:rsidR="002E0378">
        <w:trPr>
          <w:trHeight w:val="195"/>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2</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B</w:t>
            </w:r>
          </w:p>
        </w:tc>
        <w:tc>
          <w:tcPr>
            <w:tcW w:w="1246" w:type="pct"/>
            <w:vAlign w:val="center"/>
          </w:tcPr>
          <w:p w:rsidR="002E0378" w:rsidRDefault="005C380A">
            <w:pPr>
              <w:adjustRightInd w:val="0"/>
              <w:snapToGrid w:val="0"/>
              <w:rPr>
                <w:rFonts w:ascii="Times New Roman" w:hAnsi="Times New Roman"/>
                <w:kern w:val="0"/>
              </w:rPr>
            </w:pPr>
            <w:r>
              <w:rPr>
                <w:rFonts w:ascii="Times New Roman" w:eastAsiaTheme="minorEastAsia" w:hAnsi="Times New Roman"/>
              </w:rPr>
              <w:t>物化、焚烧及贮存区</w:t>
            </w:r>
          </w:p>
        </w:tc>
        <w:tc>
          <w:tcPr>
            <w:tcW w:w="1066" w:type="pct"/>
            <w:vAlign w:val="center"/>
          </w:tcPr>
          <w:p w:rsidR="002E0378" w:rsidRDefault="005C380A">
            <w:pPr>
              <w:adjustRightInd w:val="0"/>
              <w:snapToGrid w:val="0"/>
              <w:rPr>
                <w:rFonts w:ascii="Times New Roman" w:hAnsi="Times New Roman"/>
              </w:rPr>
            </w:pPr>
            <w:r>
              <w:rPr>
                <w:rFonts w:ascii="Times New Roman" w:eastAsiaTheme="minorEastAsia" w:hAnsi="Times New Roman"/>
              </w:rPr>
              <w:t>物化、焚烧及贮存区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该区域危险废物存储、焚烧及物化等，可能通过生产中的跑冒滴漏迁移到地下水及土壤中。</w:t>
            </w:r>
          </w:p>
        </w:tc>
      </w:tr>
      <w:tr w:rsidR="002E0378">
        <w:trPr>
          <w:trHeight w:val="195"/>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3</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C</w:t>
            </w:r>
          </w:p>
        </w:tc>
        <w:tc>
          <w:tcPr>
            <w:tcW w:w="1246" w:type="pct"/>
            <w:vAlign w:val="center"/>
          </w:tcPr>
          <w:p w:rsidR="002E0378" w:rsidRDefault="005C380A">
            <w:pPr>
              <w:adjustRightInd w:val="0"/>
              <w:snapToGrid w:val="0"/>
              <w:rPr>
                <w:rFonts w:ascii="Times New Roman" w:eastAsiaTheme="minorEastAsia" w:hAnsi="Times New Roman"/>
              </w:rPr>
            </w:pPr>
            <w:r>
              <w:rPr>
                <w:rFonts w:ascii="Times New Roman" w:eastAsiaTheme="minorEastAsia" w:hAnsi="Times New Roman"/>
              </w:rPr>
              <w:t>污水处理站</w:t>
            </w:r>
          </w:p>
        </w:tc>
        <w:tc>
          <w:tcPr>
            <w:tcW w:w="1066" w:type="pct"/>
            <w:vAlign w:val="center"/>
          </w:tcPr>
          <w:p w:rsidR="002E0378" w:rsidRDefault="005C380A">
            <w:pPr>
              <w:adjustRightInd w:val="0"/>
              <w:snapToGrid w:val="0"/>
              <w:rPr>
                <w:rFonts w:ascii="Times New Roman" w:eastAsiaTheme="minorEastAsia" w:hAnsi="Times New Roman"/>
              </w:rPr>
            </w:pPr>
            <w:r>
              <w:rPr>
                <w:rFonts w:ascii="Times New Roman" w:eastAsiaTheme="minorEastAsia" w:hAnsi="Times New Roman"/>
              </w:rPr>
              <w:t>污水处理区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该区域涉及污水处理，可能通过生产中的跑冒滴漏迁移到地下水及土壤中。</w:t>
            </w:r>
          </w:p>
        </w:tc>
      </w:tr>
    </w:tbl>
    <w:p w:rsidR="002E0378" w:rsidRDefault="002E0378">
      <w:pPr>
        <w:pStyle w:val="a4"/>
        <w:ind w:firstLineChars="0" w:firstLine="0"/>
        <w:jc w:val="center"/>
      </w:pPr>
    </w:p>
    <w:p w:rsidR="002E0378" w:rsidRDefault="005C380A">
      <w:pPr>
        <w:pStyle w:val="2"/>
        <w:rPr>
          <w:rFonts w:ascii="宋体" w:hAnsi="宋体" w:cs="宋体"/>
          <w:szCs w:val="28"/>
        </w:rPr>
      </w:pPr>
      <w:bookmarkStart w:id="51" w:name="_Toc29278"/>
      <w:bookmarkStart w:id="52" w:name="_Toc22917"/>
      <w:bookmarkEnd w:id="49"/>
      <w:bookmarkEnd w:id="50"/>
      <w:r>
        <w:rPr>
          <w:rFonts w:hint="eastAsia"/>
        </w:rPr>
        <w:t xml:space="preserve">3.4 </w:t>
      </w:r>
      <w:r>
        <w:rPr>
          <w:rFonts w:hint="eastAsia"/>
        </w:rPr>
        <w:t>现场排查方法</w:t>
      </w:r>
      <w:bookmarkEnd w:id="51"/>
      <w:bookmarkEnd w:id="52"/>
    </w:p>
    <w:p w:rsidR="002E0378" w:rsidRDefault="005C380A">
      <w:pPr>
        <w:pStyle w:val="a4"/>
        <w:ind w:firstLine="480"/>
      </w:pPr>
      <w:r>
        <w:rPr>
          <w:rFonts w:hint="eastAsia"/>
        </w:rPr>
        <w:t>综合排查：一要全面排查涉及有毒有害物质的生产装置、储罐、管线，排污设施、污染治理设施等的运行管理情况，关注日常运行管理记录、防渗设施及泄漏收集设施等的完好性、跑冒滴漏痕迹、污染迹象、日常检查记录等；二要排查涉及有毒有害物质的原辅材料及工业废弃物的堆存区、储放区和转运区等区域的地面铺装情况、防渗设施及泄漏收集设施等的完好性、跑冒滴漏痕迹、污染迹象、日常检查记录等。企业可制定适合本企业的《土壤和地下水污染隐患现场排查表》。企业开展综合排查应针对不同单元制定相应的隐患排查表，填写《土壤和地下水污染隐患现场排查表》并存档。</w:t>
      </w:r>
      <w:r>
        <w:rPr>
          <w:rFonts w:hint="eastAsia"/>
        </w:rPr>
        <w:t xml:space="preserve"> </w:t>
      </w:r>
    </w:p>
    <w:p w:rsidR="002E0378" w:rsidRDefault="005C380A">
      <w:pPr>
        <w:pStyle w:val="a4"/>
        <w:ind w:firstLine="480"/>
      </w:pPr>
      <w:r>
        <w:rPr>
          <w:rFonts w:hint="eastAsia"/>
        </w:rPr>
        <w:t>专项排查：针对某一类型设施设备、特定区域的运行管理情况进行排查，要关注日常运行管理记录、防渗设施及泄漏收集设施等的完好性、跑冒滴漏痕迹、污染</w:t>
      </w:r>
      <w:r>
        <w:rPr>
          <w:rFonts w:hint="eastAsia"/>
        </w:rPr>
        <w:lastRenderedPageBreak/>
        <w:t>迹象、日常检查记录等。企业开展专项排查针对特定单元选填《土壤和地下水污染隐患现场排查表》并存档。</w:t>
      </w:r>
      <w:r>
        <w:rPr>
          <w:rFonts w:hint="eastAsia"/>
        </w:rPr>
        <w:t xml:space="preserve"> </w:t>
      </w:r>
    </w:p>
    <w:p w:rsidR="002E0378" w:rsidRDefault="005C380A">
      <w:pPr>
        <w:pStyle w:val="a4"/>
        <w:ind w:firstLine="480"/>
      </w:pPr>
      <w:r>
        <w:rPr>
          <w:rFonts w:hint="eastAsia"/>
        </w:rPr>
        <w:t>日常检查：针对重点设施设备、重点区域制定符合本企业实际情况的《土壤和地下水污染隐患日常检查记录表》，包括项目编号、名称、排查时间、是否发现污染隐患、现场排查负责人（签字）等内容，并按照计划定期进行巡视、查看。企业开展日常检查需定期填写《土壤和地下水污染隐患日常检查记录表》并存档。</w:t>
      </w:r>
    </w:p>
    <w:p w:rsidR="002E0378" w:rsidRDefault="002E0378">
      <w:pPr>
        <w:pStyle w:val="5"/>
        <w:numPr>
          <w:ilvl w:val="0"/>
          <w:numId w:val="0"/>
        </w:numPr>
        <w:jc w:val="left"/>
        <w:rPr>
          <w:lang w:val="zh-CN" w:bidi="zh-CN"/>
        </w:rPr>
      </w:pPr>
    </w:p>
    <w:p w:rsidR="002E0378" w:rsidRDefault="002E0378">
      <w:pPr>
        <w:pStyle w:val="5"/>
        <w:numPr>
          <w:ilvl w:val="0"/>
          <w:numId w:val="0"/>
        </w:numPr>
        <w:ind w:left="2040" w:hanging="360"/>
        <w:jc w:val="left"/>
        <w:rPr>
          <w:lang w:val="zh-CN" w:bidi="zh-CN"/>
        </w:rPr>
        <w:sectPr w:rsidR="002E0378">
          <w:pgSz w:w="12240" w:h="15840"/>
          <w:pgMar w:top="1440" w:right="1800" w:bottom="1440" w:left="1800" w:header="720" w:footer="720" w:gutter="0"/>
          <w:cols w:space="720"/>
          <w:docGrid w:type="lines" w:linePitch="312"/>
        </w:sectPr>
      </w:pPr>
    </w:p>
    <w:p w:rsidR="002E0378" w:rsidRDefault="005C380A">
      <w:pPr>
        <w:pStyle w:val="1"/>
        <w:rPr>
          <w:rFonts w:ascii="宋体" w:hAnsi="宋体" w:cs="宋体"/>
        </w:rPr>
      </w:pPr>
      <w:bookmarkStart w:id="53" w:name="_Toc8692"/>
      <w:bookmarkStart w:id="54" w:name="_Toc6048"/>
      <w:r>
        <w:rPr>
          <w:rFonts w:hint="eastAsia"/>
        </w:rPr>
        <w:lastRenderedPageBreak/>
        <w:t xml:space="preserve">4 </w:t>
      </w:r>
      <w:r>
        <w:rPr>
          <w:rFonts w:hint="eastAsia"/>
        </w:rPr>
        <w:t>土壤污染隐患排查</w:t>
      </w:r>
      <w:bookmarkEnd w:id="53"/>
      <w:bookmarkEnd w:id="54"/>
    </w:p>
    <w:p w:rsidR="002E0378" w:rsidRDefault="005C380A">
      <w:pPr>
        <w:pStyle w:val="2"/>
        <w:rPr>
          <w:rFonts w:ascii="宋体" w:hAnsi="宋体" w:cs="宋体"/>
        </w:rPr>
      </w:pPr>
      <w:bookmarkStart w:id="55" w:name="_Toc16336"/>
      <w:bookmarkStart w:id="56" w:name="_Toc6173"/>
      <w:r>
        <w:rPr>
          <w:rFonts w:hint="eastAsia"/>
        </w:rPr>
        <w:t xml:space="preserve">4.1 </w:t>
      </w:r>
      <w:r>
        <w:rPr>
          <w:rFonts w:hint="eastAsia"/>
        </w:rPr>
        <w:t>重点区域、重点设施设备隐患排查</w:t>
      </w:r>
      <w:bookmarkEnd w:id="55"/>
      <w:bookmarkEnd w:id="56"/>
      <w:r>
        <w:rPr>
          <w:rFonts w:hint="eastAsia"/>
        </w:rPr>
        <w:t xml:space="preserve"> </w:t>
      </w:r>
    </w:p>
    <w:p w:rsidR="002E0378" w:rsidRDefault="005C380A">
      <w:pPr>
        <w:pStyle w:val="a4"/>
        <w:ind w:firstLine="480"/>
        <w:rPr>
          <w:rFonts w:ascii="宋体" w:hAnsi="宋体"/>
        </w:rPr>
      </w:pPr>
      <w:r>
        <w:rPr>
          <w:rFonts w:hint="eastAsia"/>
        </w:rPr>
        <w:t>受吉林省固体废物处理有限责任公司委托，</w:t>
      </w:r>
      <w:hyperlink r:id="rId24" w:tgtFrame="https://www.so.com/_blank" w:history="1">
        <w:r>
          <w:rPr>
            <w:rFonts w:hint="eastAsia"/>
          </w:rPr>
          <w:t>吉林柏源环境检测有限公司</w:t>
        </w:r>
      </w:hyperlink>
      <w:r>
        <w:rPr>
          <w:rFonts w:hint="eastAsia"/>
        </w:rPr>
        <w:t>技术人员于</w:t>
      </w:r>
      <w:r>
        <w:rPr>
          <w:rFonts w:hint="eastAsia"/>
        </w:rPr>
        <w:t>202</w:t>
      </w:r>
      <w:r>
        <w:rPr>
          <w:rFonts w:hint="eastAsia"/>
          <w:lang w:val="en-US"/>
        </w:rPr>
        <w:t>3</w:t>
      </w:r>
      <w:r>
        <w:rPr>
          <w:rFonts w:hint="eastAsia"/>
        </w:rPr>
        <w:t>年</w:t>
      </w:r>
      <w:r>
        <w:rPr>
          <w:rFonts w:hint="eastAsia"/>
          <w:lang w:val="en-US"/>
        </w:rPr>
        <w:t>7</w:t>
      </w:r>
      <w:r>
        <w:rPr>
          <w:rFonts w:hint="eastAsia"/>
        </w:rPr>
        <w:t>月</w:t>
      </w:r>
      <w:r>
        <w:rPr>
          <w:rFonts w:hint="eastAsia"/>
          <w:lang w:val="en-US"/>
        </w:rPr>
        <w:t>17</w:t>
      </w:r>
      <w:r>
        <w:rPr>
          <w:rFonts w:hint="eastAsia"/>
        </w:rPr>
        <w:t>日进行了现场踏勘、资料收集工作，通过收集企业资料，访谈、对现场目视和巡查，项目各生产装置地面均进行了硬化。根据《重点监管单位土壤污染隐患排查指南（试行）》（生态环境部公告</w:t>
      </w:r>
      <w:r>
        <w:rPr>
          <w:rFonts w:hint="eastAsia"/>
        </w:rPr>
        <w:t>2021</w:t>
      </w:r>
      <w:r>
        <w:rPr>
          <w:rFonts w:hint="eastAsia"/>
        </w:rPr>
        <w:t>年第</w:t>
      </w:r>
      <w:r>
        <w:rPr>
          <w:rFonts w:hint="eastAsia"/>
        </w:rPr>
        <w:t>1</w:t>
      </w:r>
      <w:r>
        <w:rPr>
          <w:rFonts w:hint="eastAsia"/>
        </w:rPr>
        <w:t>号），分别列表说明企业重点设施区域、重点设施设备设计、建设和管理措施情况，具体如下：</w:t>
      </w:r>
      <w:r>
        <w:rPr>
          <w:rFonts w:hint="eastAsia"/>
        </w:rPr>
        <w:t xml:space="preserve"> </w:t>
      </w:r>
    </w:p>
    <w:p w:rsidR="002E0378" w:rsidRDefault="005C380A">
      <w:pPr>
        <w:pStyle w:val="3"/>
        <w:rPr>
          <w:rFonts w:cs="宋体"/>
        </w:rPr>
      </w:pPr>
      <w:bookmarkStart w:id="57" w:name="_Toc25135"/>
      <w:r>
        <w:t>4.1.1</w:t>
      </w:r>
      <w:r>
        <w:rPr>
          <w:rFonts w:hint="eastAsia"/>
        </w:rPr>
        <w:t xml:space="preserve"> </w:t>
      </w:r>
      <w:r>
        <w:t>液体储存</w:t>
      </w:r>
      <w:bookmarkEnd w:id="57"/>
    </w:p>
    <w:p w:rsidR="002E0378" w:rsidRDefault="005C380A">
      <w:pPr>
        <w:pStyle w:val="a4"/>
        <w:ind w:firstLine="480"/>
        <w:rPr>
          <w:lang w:val="en-US"/>
        </w:rPr>
      </w:pPr>
      <w:r>
        <w:rPr>
          <w:rFonts w:hint="eastAsia"/>
          <w:lang w:val="en-US"/>
        </w:rPr>
        <w:t>1</w:t>
      </w:r>
      <w:r>
        <w:rPr>
          <w:rFonts w:hint="eastAsia"/>
          <w:lang w:val="en-US"/>
        </w:rPr>
        <w:t>、储罐类储存设施</w:t>
      </w:r>
    </w:p>
    <w:p w:rsidR="002E0378" w:rsidRDefault="005C380A">
      <w:pPr>
        <w:pStyle w:val="a4"/>
        <w:ind w:firstLine="480"/>
      </w:pPr>
      <w:r>
        <w:rPr>
          <w:rFonts w:hint="eastAsia"/>
        </w:rPr>
        <w:t>储罐类储存设施包括离地储罐等。造成土壤污染主要是罐体内、外腐蚀造成液体物料泄漏、渗漏。储罐类储存设施的土壤污染预防设施与措施推荐组合见下表。</w:t>
      </w:r>
    </w:p>
    <w:p w:rsidR="002E0378" w:rsidRDefault="005C380A">
      <w:pPr>
        <w:pStyle w:val="a4"/>
        <w:ind w:firstLineChars="0" w:firstLine="0"/>
        <w:jc w:val="center"/>
      </w:pPr>
      <w:r>
        <w:rPr>
          <w:rFonts w:hint="eastAsia"/>
          <w:b/>
          <w:bCs/>
        </w:rPr>
        <w:t>表</w:t>
      </w:r>
      <w:r>
        <w:rPr>
          <w:rFonts w:hint="eastAsia"/>
          <w:b/>
          <w:bCs/>
        </w:rPr>
        <w:t xml:space="preserve">4-1  </w:t>
      </w:r>
      <w:r>
        <w:rPr>
          <w:rFonts w:hint="eastAsia"/>
          <w:b/>
          <w:bCs/>
        </w:rPr>
        <w:t>储罐类储存设施土壤污染预防设施与措施推荐组合</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2"/>
        <w:gridCol w:w="3339"/>
        <w:gridCol w:w="4500"/>
      </w:tblGrid>
      <w:tr w:rsidR="002E0378">
        <w:trPr>
          <w:trHeight w:val="397"/>
          <w:tblHeader/>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886"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541"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一、地下储罐</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单层钢制储罐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阴极保护系统</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地下水或者土壤气监测井</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定期开展阴极保护有效性检查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定期开展地下水或者土壤气监测</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单层耐腐蚀非金属材质储罐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地下水或者土壤气监测井</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定期开展地下水或者土壤气监测</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双层储罐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泄漏检测设施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定期检查泄漏检测设施，确保正常运行</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4</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位于阻隔设施（如水泥池等）内的单层储罐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阻隔设施内加装泄漏检测设施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定期检查泄漏检测设施，确保正常运行</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二、接地储罐</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单层钢制储罐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阴极保护系统</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泄漏检测设施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4</w:t>
            </w:r>
            <w:r>
              <w:rPr>
                <w:rFonts w:ascii="Times New Roman" w:hAnsi="Times New Roman" w:hint="eastAsia"/>
                <w:sz w:val="18"/>
                <w:szCs w:val="18"/>
              </w:rPr>
              <w:t>）</w:t>
            </w:r>
            <w:r>
              <w:rPr>
                <w:rFonts w:ascii="Times New Roman" w:hAnsi="Times New Roman"/>
                <w:sz w:val="18"/>
                <w:szCs w:val="18"/>
              </w:rPr>
              <w:t>普通阻隔设施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定期开展阴极保护有效性检查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定期检查泄漏检测设施，确保正常运行</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日常维护（如及时解决泄漏问题，及时清理泄漏的污染物，下同）</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单层耐腐蚀非金属材质储罐</w:t>
            </w:r>
          </w:p>
          <w:p w:rsidR="002E0378" w:rsidRDefault="005C380A">
            <w:pPr>
              <w:jc w:val="both"/>
              <w:rPr>
                <w:rFonts w:ascii="Times New Roman" w:hAnsi="Times New Roman"/>
                <w:sz w:val="18"/>
                <w:szCs w:val="18"/>
              </w:rPr>
            </w:pPr>
            <w:r>
              <w:rPr>
                <w:rFonts w:ascii="Times New Roman" w:hAnsi="Times New Roman" w:hint="eastAsia"/>
                <w:sz w:val="18"/>
                <w:szCs w:val="18"/>
              </w:rPr>
              <w:lastRenderedPageBreak/>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泄漏检测设施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普通阻隔设施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lastRenderedPageBreak/>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定期检查泄漏检测设施，确保正常运行</w:t>
            </w:r>
          </w:p>
          <w:p w:rsidR="002E0378" w:rsidRDefault="005C380A">
            <w:pPr>
              <w:jc w:val="both"/>
              <w:rPr>
                <w:rFonts w:ascii="Times New Roman" w:hAnsi="Times New Roman"/>
                <w:sz w:val="18"/>
                <w:szCs w:val="18"/>
              </w:rPr>
            </w:pPr>
            <w:r>
              <w:rPr>
                <w:rFonts w:ascii="Times New Roman" w:hAnsi="Times New Roman" w:hint="eastAsia"/>
                <w:sz w:val="18"/>
                <w:szCs w:val="18"/>
              </w:rPr>
              <w:lastRenderedPageBreak/>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lastRenderedPageBreak/>
              <w:t>3</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双层储罐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泄漏检测设施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定期检查泄漏检测设施，确保正常运行</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4</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渗漏、流失的液体能得到有效收集并定期清理</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定期开展防渗效果检查（如物探检测、注水试验检测等，下同）</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定期采用专业设备开展罐体专项检查</w:t>
            </w:r>
            <w:r>
              <w:rPr>
                <w:rFonts w:ascii="Times New Roman" w:hAnsi="Times New Roman"/>
                <w:sz w:val="18"/>
                <w:szCs w:val="18"/>
              </w:rPr>
              <w:t xml:space="preserve"> </w:t>
            </w:r>
            <w:r>
              <w:rPr>
                <w:rFonts w:ascii="Times New Roman" w:hAnsi="Times New Roman"/>
                <w:sz w:val="18"/>
                <w:szCs w:val="18"/>
              </w:rPr>
              <w:t>日常维护</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三、离地储罐</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普通阻隔设施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目视检查外壁是否有泄漏迹象</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有效应对泄漏事件（包括完善工作程序，定期开展巡查、检修以预防泄漏事件发生；明确责任人员，开展人员培训；保持充足事故应急物资，确保能及时处理泄漏或者泄漏隐患；处理受污染的土壤等，下同）</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防滴漏设施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定期清空防滴漏设施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目视检查外壁是否有泄漏迹象</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有效应对泄漏事件</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双层储罐</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泄漏检测设施</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定期采用专业设备开展罐体专项检查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日常目视检查（如按操作规程或者交班时，对是否存在泄漏、渗漏等情况进行快速检查，下同）</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72" w:type="pct"/>
            <w:vAlign w:val="center"/>
          </w:tcPr>
          <w:p w:rsidR="002E0378" w:rsidRDefault="005C380A">
            <w:pPr>
              <w:rPr>
                <w:rFonts w:ascii="Times New Roman" w:hAnsi="Times New Roman"/>
                <w:sz w:val="18"/>
                <w:szCs w:val="18"/>
              </w:rPr>
            </w:pPr>
            <w:r>
              <w:rPr>
                <w:rFonts w:ascii="Times New Roman" w:hAnsi="Times New Roman"/>
                <w:sz w:val="18"/>
                <w:szCs w:val="18"/>
              </w:rPr>
              <w:t>4</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渗漏、流失的液体能得到有效收集并定期清理</w:t>
            </w:r>
          </w:p>
        </w:tc>
        <w:tc>
          <w:tcPr>
            <w:tcW w:w="254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日常维护</w:t>
            </w:r>
          </w:p>
        </w:tc>
      </w:tr>
    </w:tbl>
    <w:p w:rsidR="002E0378" w:rsidRDefault="005C380A">
      <w:pPr>
        <w:pStyle w:val="a4"/>
        <w:ind w:firstLine="480"/>
        <w:rPr>
          <w:lang w:val="en-US"/>
        </w:rPr>
      </w:pPr>
      <w:r>
        <w:rPr>
          <w:rFonts w:hint="eastAsia"/>
        </w:rPr>
        <w:t>经排查，吉林省固体废物处理有限责任公司内储罐涉及接地储罐，适用于“二、接地储罐”组合</w:t>
      </w:r>
      <w:r>
        <w:rPr>
          <w:rFonts w:hint="eastAsia"/>
        </w:rPr>
        <w:t>4</w:t>
      </w:r>
      <w:r>
        <w:rPr>
          <w:rFonts w:hint="eastAsia"/>
          <w:lang w:val="en-US"/>
        </w:rPr>
        <w:t>。</w:t>
      </w:r>
    </w:p>
    <w:p w:rsidR="002E0378" w:rsidRDefault="005C380A">
      <w:pPr>
        <w:pStyle w:val="a4"/>
        <w:ind w:firstLine="480"/>
        <w:rPr>
          <w:rFonts w:ascii="宋体" w:hAnsi="宋体"/>
          <w:kern w:val="0"/>
          <w:lang w:bidi="ar"/>
        </w:rPr>
        <w:sectPr w:rsidR="002E0378">
          <w:pgSz w:w="12240" w:h="15840"/>
          <w:pgMar w:top="1440" w:right="1800" w:bottom="1440" w:left="1800" w:header="720" w:footer="720" w:gutter="0"/>
          <w:cols w:space="720"/>
          <w:docGrid w:type="lines" w:linePitch="312"/>
        </w:sectPr>
      </w:pPr>
      <w:r>
        <w:rPr>
          <w:rFonts w:hint="eastAsia"/>
        </w:rPr>
        <w:t>本项目储罐类储存设施隐患排查详见下表。</w:t>
      </w:r>
    </w:p>
    <w:p w:rsidR="002E0378" w:rsidRDefault="005C380A">
      <w:pPr>
        <w:pStyle w:val="a4"/>
        <w:ind w:firstLine="482"/>
        <w:jc w:val="center"/>
        <w:rPr>
          <w:rFonts w:ascii="宋体" w:hAnsi="宋体"/>
          <w:b/>
          <w:bCs/>
          <w:kern w:val="0"/>
          <w:szCs w:val="24"/>
          <w:lang w:bidi="ar"/>
        </w:rPr>
      </w:pPr>
      <w:r>
        <w:rPr>
          <w:rFonts w:hint="eastAsia"/>
          <w:b/>
          <w:bCs/>
        </w:rPr>
        <w:lastRenderedPageBreak/>
        <w:t>表</w:t>
      </w:r>
      <w:r>
        <w:rPr>
          <w:rFonts w:hint="eastAsia"/>
          <w:b/>
          <w:bCs/>
        </w:rPr>
        <w:t xml:space="preserve"> 4-2</w:t>
      </w:r>
      <w:r>
        <w:rPr>
          <w:rFonts w:hint="eastAsia"/>
          <w:b/>
          <w:bCs/>
          <w:lang w:val="en-US"/>
        </w:rPr>
        <w:t xml:space="preserve"> </w:t>
      </w:r>
      <w:r>
        <w:rPr>
          <w:rFonts w:hint="eastAsia"/>
          <w:b/>
          <w:bCs/>
        </w:rPr>
        <w:t xml:space="preserve"> </w:t>
      </w:r>
      <w:r>
        <w:rPr>
          <w:rFonts w:hint="eastAsia"/>
          <w:b/>
          <w:bCs/>
        </w:rPr>
        <w:t>储罐类储存设施土壤污染隐患排查</w:t>
      </w:r>
    </w:p>
    <w:tbl>
      <w:tblPr>
        <w:tblW w:w="46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96"/>
        <w:gridCol w:w="396"/>
        <w:gridCol w:w="4116"/>
        <w:gridCol w:w="1136"/>
        <w:gridCol w:w="1858"/>
      </w:tblGrid>
      <w:tr w:rsidR="002E0378">
        <w:trPr>
          <w:trHeight w:val="90"/>
          <w:jc w:val="center"/>
        </w:trPr>
        <w:tc>
          <w:tcPr>
            <w:tcW w:w="168"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罐区</w:t>
            </w:r>
          </w:p>
        </w:tc>
        <w:tc>
          <w:tcPr>
            <w:tcW w:w="302"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污水处理</w:t>
            </w:r>
          </w:p>
        </w:tc>
        <w:tc>
          <w:tcPr>
            <w:tcW w:w="329"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污水罐</w:t>
            </w:r>
          </w:p>
        </w:tc>
        <w:tc>
          <w:tcPr>
            <w:tcW w:w="1667"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2468880" cy="1388745"/>
                  <wp:effectExtent l="0" t="0" r="7620" b="1905"/>
                  <wp:docPr id="13" name="图片 13" descr="1ee5ac841b6bc2d74330e3097e09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ee5ac841b6bc2d74330e3097e095a6"/>
                          <pic:cNvPicPr>
                            <a:picLocks noChangeAspect="1"/>
                          </pic:cNvPicPr>
                        </pic:nvPicPr>
                        <pic:blipFill>
                          <a:blip r:embed="rId25"/>
                          <a:stretch>
                            <a:fillRect/>
                          </a:stretch>
                        </pic:blipFill>
                        <pic:spPr>
                          <a:xfrm>
                            <a:off x="0" y="0"/>
                            <a:ext cx="2468880" cy="1388745"/>
                          </a:xfrm>
                          <a:prstGeom prst="rect">
                            <a:avLst/>
                          </a:prstGeom>
                        </pic:spPr>
                      </pic:pic>
                    </a:graphicData>
                  </a:graphic>
                </wp:inline>
              </w:drawing>
            </w:r>
          </w:p>
        </w:tc>
        <w:tc>
          <w:tcPr>
            <w:tcW w:w="1193" w:type="pct"/>
            <w:vMerge w:val="restar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adjustRightInd w:val="0"/>
              <w:snapToGrid w:val="0"/>
              <w:jc w:val="left"/>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）渗漏、流失的液体能得到有效收集并定期清理</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定期开展防渗效果检查（如物探检测、注水试验检测等，下同）</w:t>
            </w:r>
          </w:p>
          <w:p w:rsidR="002E0378" w:rsidRDefault="005C380A">
            <w:pPr>
              <w:adjustRightInd w:val="0"/>
              <w:snapToGrid w:val="0"/>
              <w:jc w:val="left"/>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4</w:t>
            </w:r>
            <w:r>
              <w:rPr>
                <w:rFonts w:ascii="Times New Roman" w:hAnsi="Times New Roman" w:hint="eastAsia"/>
                <w:sz w:val="18"/>
                <w:szCs w:val="18"/>
              </w:rPr>
              <w:t>）</w:t>
            </w:r>
            <w:r>
              <w:rPr>
                <w:rFonts w:ascii="Times New Roman" w:hAnsi="Times New Roman"/>
                <w:sz w:val="18"/>
                <w:szCs w:val="18"/>
              </w:rPr>
              <w:t>定期采用专业设备开展罐体专项检查</w:t>
            </w:r>
            <w:r>
              <w:rPr>
                <w:rFonts w:ascii="Times New Roman" w:hAnsi="Times New Roman"/>
                <w:sz w:val="18"/>
                <w:szCs w:val="18"/>
              </w:rPr>
              <w:t xml:space="preserve"> </w:t>
            </w:r>
            <w:r>
              <w:rPr>
                <w:rFonts w:ascii="Times New Roman" w:hAnsi="Times New Roman"/>
                <w:sz w:val="18"/>
                <w:szCs w:val="18"/>
              </w:rPr>
              <w:t>日常维护</w:t>
            </w:r>
          </w:p>
        </w:tc>
        <w:tc>
          <w:tcPr>
            <w:tcW w:w="1339" w:type="pct"/>
            <w:vMerge w:val="restar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）罐区地面硬化防腐防渗，建设围堰防止事故状态下液体物料泄漏</w:t>
            </w:r>
          </w:p>
          <w:p w:rsidR="002E0378" w:rsidRDefault="005C380A">
            <w:pPr>
              <w:adjustRightInd w:val="0"/>
              <w:snapToGrid w:val="0"/>
              <w:jc w:val="left"/>
              <w:rPr>
                <w:rFonts w:ascii="Times New Roman" w:hAnsi="Times New Roman"/>
                <w:sz w:val="18"/>
                <w:szCs w:val="18"/>
                <w:highlight w:val="green"/>
              </w:rPr>
            </w:pPr>
            <w:r>
              <w:rPr>
                <w:rFonts w:ascii="Times New Roman" w:hAnsi="Times New Roman"/>
                <w:sz w:val="18"/>
                <w:szCs w:val="18"/>
              </w:rPr>
              <w:t>（</w:t>
            </w:r>
            <w:r>
              <w:rPr>
                <w:rFonts w:ascii="Times New Roman" w:hAnsi="Times New Roman" w:hint="eastAsia"/>
                <w:sz w:val="18"/>
                <w:szCs w:val="18"/>
              </w:rPr>
              <w:t>2</w:t>
            </w:r>
            <w:r>
              <w:rPr>
                <w:rFonts w:ascii="Times New Roman" w:hAnsi="Times New Roman"/>
                <w:sz w:val="18"/>
                <w:szCs w:val="18"/>
              </w:rPr>
              <w:t>）储罐设有液位指示装置；</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定期开展土壤和地下水监测，定期检查地面及围堰有无破损；</w:t>
            </w:r>
          </w:p>
          <w:p w:rsidR="002E0378" w:rsidRDefault="005C380A">
            <w:pPr>
              <w:adjustRightInd w:val="0"/>
              <w:snapToGrid w:val="0"/>
              <w:jc w:val="left"/>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4</w:t>
            </w:r>
            <w:r>
              <w:rPr>
                <w:rFonts w:ascii="Times New Roman" w:hAnsi="Times New Roman" w:hint="eastAsia"/>
                <w:sz w:val="18"/>
                <w:szCs w:val="18"/>
              </w:rPr>
              <w:t>）</w:t>
            </w:r>
            <w:r>
              <w:rPr>
                <w:rFonts w:ascii="Times New Roman" w:hAnsi="Times New Roman"/>
                <w:sz w:val="18"/>
                <w:szCs w:val="18"/>
              </w:rPr>
              <w:t>设置专员进行日常检查，主要检查设施运行状况和罐体</w:t>
            </w:r>
            <w:r>
              <w:rPr>
                <w:rFonts w:ascii="Times New Roman" w:hAnsi="Times New Roman"/>
                <w:sz w:val="18"/>
                <w:szCs w:val="18"/>
              </w:rPr>
              <w:t>“</w:t>
            </w:r>
            <w:r>
              <w:rPr>
                <w:rFonts w:ascii="Times New Roman" w:hAnsi="Times New Roman"/>
                <w:sz w:val="18"/>
                <w:szCs w:val="18"/>
              </w:rPr>
              <w:t>跑、冒、滴、漏</w:t>
            </w:r>
            <w:r>
              <w:rPr>
                <w:rFonts w:ascii="Times New Roman" w:hAnsi="Times New Roman"/>
                <w:sz w:val="18"/>
                <w:szCs w:val="18"/>
              </w:rPr>
              <w:t>”</w:t>
            </w:r>
            <w:r>
              <w:rPr>
                <w:rFonts w:ascii="Times New Roman" w:hAnsi="Times New Roman"/>
                <w:sz w:val="18"/>
                <w:szCs w:val="18"/>
              </w:rPr>
              <w:t>情况，排查过程中未发现储罐泄漏情况</w:t>
            </w:r>
          </w:p>
        </w:tc>
      </w:tr>
      <w:tr w:rsidR="002E0378">
        <w:trPr>
          <w:trHeight w:val="3839"/>
          <w:jc w:val="center"/>
        </w:trPr>
        <w:tc>
          <w:tcPr>
            <w:tcW w:w="168"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罐区</w:t>
            </w:r>
          </w:p>
        </w:tc>
        <w:tc>
          <w:tcPr>
            <w:tcW w:w="302"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焚烧车间</w:t>
            </w:r>
          </w:p>
        </w:tc>
        <w:tc>
          <w:tcPr>
            <w:tcW w:w="329"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碱液罐</w:t>
            </w:r>
          </w:p>
        </w:tc>
        <w:tc>
          <w:tcPr>
            <w:tcW w:w="1667"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1529080" cy="2718435"/>
                  <wp:effectExtent l="0" t="0" r="13970" b="5715"/>
                  <wp:docPr id="1" name="图片 1" descr="bc03bfa37970f89b05442a88b879f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c03bfa37970f89b05442a88b879f5d"/>
                          <pic:cNvPicPr>
                            <a:picLocks noChangeAspect="1"/>
                          </pic:cNvPicPr>
                        </pic:nvPicPr>
                        <pic:blipFill>
                          <a:blip r:embed="rId26"/>
                          <a:stretch>
                            <a:fillRect/>
                          </a:stretch>
                        </pic:blipFill>
                        <pic:spPr>
                          <a:xfrm>
                            <a:off x="0" y="0"/>
                            <a:ext cx="1529080" cy="2718435"/>
                          </a:xfrm>
                          <a:prstGeom prst="rect">
                            <a:avLst/>
                          </a:prstGeom>
                        </pic:spPr>
                      </pic:pic>
                    </a:graphicData>
                  </a:graphic>
                </wp:inline>
              </w:drawing>
            </w:r>
          </w:p>
        </w:tc>
        <w:tc>
          <w:tcPr>
            <w:tcW w:w="1193" w:type="pct"/>
            <w:vMerge/>
            <w:vAlign w:val="center"/>
          </w:tcPr>
          <w:p w:rsidR="002E0378" w:rsidRDefault="002E0378">
            <w:pPr>
              <w:adjustRightInd w:val="0"/>
              <w:snapToGrid w:val="0"/>
              <w:jc w:val="left"/>
              <w:rPr>
                <w:rFonts w:ascii="Times New Roman" w:hAnsi="Times New Roman"/>
                <w:sz w:val="18"/>
                <w:szCs w:val="18"/>
              </w:rPr>
            </w:pPr>
          </w:p>
        </w:tc>
        <w:tc>
          <w:tcPr>
            <w:tcW w:w="1339" w:type="pct"/>
            <w:vMerge/>
            <w:vAlign w:val="center"/>
          </w:tcPr>
          <w:p w:rsidR="002E0378" w:rsidRDefault="002E0378">
            <w:pPr>
              <w:adjustRightInd w:val="0"/>
              <w:snapToGrid w:val="0"/>
              <w:jc w:val="left"/>
              <w:rPr>
                <w:rFonts w:ascii="Times New Roman" w:hAnsi="Times New Roman"/>
                <w:sz w:val="18"/>
                <w:szCs w:val="18"/>
              </w:rPr>
            </w:pPr>
          </w:p>
        </w:tc>
      </w:tr>
      <w:tr w:rsidR="002E0378">
        <w:trPr>
          <w:trHeight w:val="2159"/>
          <w:jc w:val="center"/>
        </w:trPr>
        <w:tc>
          <w:tcPr>
            <w:tcW w:w="168"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罐区</w:t>
            </w:r>
          </w:p>
        </w:tc>
        <w:tc>
          <w:tcPr>
            <w:tcW w:w="302"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物化车间</w:t>
            </w:r>
          </w:p>
        </w:tc>
        <w:tc>
          <w:tcPr>
            <w:tcW w:w="329"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酸类储罐</w:t>
            </w:r>
          </w:p>
        </w:tc>
        <w:tc>
          <w:tcPr>
            <w:tcW w:w="1667"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2476500" cy="1393190"/>
                  <wp:effectExtent l="0" t="0" r="0" b="16510"/>
                  <wp:docPr id="6" name="图片 6" descr="2bcce567dfc07569c7fc5451b081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bcce567dfc07569c7fc5451b08164d"/>
                          <pic:cNvPicPr>
                            <a:picLocks noChangeAspect="1"/>
                          </pic:cNvPicPr>
                        </pic:nvPicPr>
                        <pic:blipFill>
                          <a:blip r:embed="rId27"/>
                          <a:stretch>
                            <a:fillRect/>
                          </a:stretch>
                        </pic:blipFill>
                        <pic:spPr>
                          <a:xfrm>
                            <a:off x="0" y="0"/>
                            <a:ext cx="2476500" cy="1393190"/>
                          </a:xfrm>
                          <a:prstGeom prst="rect">
                            <a:avLst/>
                          </a:prstGeom>
                        </pic:spPr>
                      </pic:pic>
                    </a:graphicData>
                  </a:graphic>
                </wp:inline>
              </w:drawing>
            </w:r>
          </w:p>
        </w:tc>
        <w:tc>
          <w:tcPr>
            <w:tcW w:w="1193" w:type="pct"/>
            <w:vMerge/>
            <w:vAlign w:val="center"/>
          </w:tcPr>
          <w:p w:rsidR="002E0378" w:rsidRDefault="002E0378">
            <w:pPr>
              <w:adjustRightInd w:val="0"/>
              <w:snapToGrid w:val="0"/>
              <w:jc w:val="left"/>
              <w:rPr>
                <w:rFonts w:ascii="Times New Roman" w:hAnsi="Times New Roman"/>
                <w:sz w:val="18"/>
                <w:szCs w:val="18"/>
              </w:rPr>
            </w:pPr>
          </w:p>
        </w:tc>
        <w:tc>
          <w:tcPr>
            <w:tcW w:w="1339" w:type="pct"/>
            <w:vMerge/>
            <w:vAlign w:val="center"/>
          </w:tcPr>
          <w:p w:rsidR="002E0378" w:rsidRDefault="002E0378">
            <w:pPr>
              <w:adjustRightInd w:val="0"/>
              <w:snapToGrid w:val="0"/>
              <w:jc w:val="left"/>
              <w:rPr>
                <w:rFonts w:ascii="Times New Roman" w:hAnsi="Times New Roman"/>
                <w:sz w:val="18"/>
                <w:szCs w:val="18"/>
              </w:rPr>
            </w:pPr>
          </w:p>
        </w:tc>
      </w:tr>
    </w:tbl>
    <w:p w:rsidR="002E0378" w:rsidRDefault="002E0378">
      <w:pPr>
        <w:jc w:val="left"/>
        <w:rPr>
          <w:rFonts w:ascii="宋体" w:hAnsi="宋体" w:cs="宋体"/>
          <w:kern w:val="0"/>
          <w:sz w:val="24"/>
          <w:szCs w:val="24"/>
          <w:lang w:bidi="ar"/>
        </w:rPr>
        <w:sectPr w:rsidR="002E0378">
          <w:pgSz w:w="12240" w:h="15840"/>
          <w:pgMar w:top="1440" w:right="1800" w:bottom="1440" w:left="1800" w:header="720" w:footer="720" w:gutter="0"/>
          <w:cols w:space="720"/>
          <w:docGrid w:type="lines" w:linePitch="312"/>
        </w:sectPr>
      </w:pPr>
    </w:p>
    <w:p w:rsidR="002E0378" w:rsidRDefault="005C380A">
      <w:pPr>
        <w:pStyle w:val="a4"/>
        <w:ind w:firstLine="480"/>
        <w:rPr>
          <w:lang w:val="en-US"/>
        </w:rPr>
      </w:pPr>
      <w:r>
        <w:rPr>
          <w:rFonts w:hint="eastAsia"/>
          <w:lang w:val="en-US"/>
        </w:rPr>
        <w:lastRenderedPageBreak/>
        <w:t>2</w:t>
      </w:r>
      <w:r>
        <w:rPr>
          <w:rFonts w:hint="eastAsia"/>
          <w:lang w:val="en-US"/>
        </w:rPr>
        <w:t>、池体类储存设施</w:t>
      </w:r>
      <w:r>
        <w:rPr>
          <w:rFonts w:hint="eastAsia"/>
          <w:lang w:val="en-US"/>
        </w:rPr>
        <w:t xml:space="preserve"> </w:t>
      </w:r>
    </w:p>
    <w:p w:rsidR="002E0378" w:rsidRDefault="005C380A">
      <w:pPr>
        <w:pStyle w:val="a4"/>
        <w:ind w:firstLine="480"/>
      </w:pPr>
      <w:r>
        <w:rPr>
          <w:rFonts w:hint="eastAsia"/>
        </w:rPr>
        <w:t>池体类储存设施包括地下或者半地下储存池、离地储存池等。造成土壤污染主要有两种情况：（</w:t>
      </w:r>
      <w:r>
        <w:rPr>
          <w:rFonts w:hint="eastAsia"/>
        </w:rPr>
        <w:t>1</w:t>
      </w:r>
      <w:r>
        <w:rPr>
          <w:rFonts w:hint="eastAsia"/>
        </w:rPr>
        <w:t>）池体老化、破损、裂缝造成的泄漏、渗漏等；（</w:t>
      </w:r>
      <w:r>
        <w:rPr>
          <w:rFonts w:hint="eastAsia"/>
        </w:rPr>
        <w:t>2</w:t>
      </w:r>
      <w:r>
        <w:rPr>
          <w:rFonts w:hint="eastAsia"/>
        </w:rPr>
        <w:t>）满溢导致的土壤污染。池体类储存设施土壤污染预防设施与措施推荐组合见下表。</w:t>
      </w:r>
    </w:p>
    <w:p w:rsidR="002E0378" w:rsidRDefault="005C380A">
      <w:pPr>
        <w:pStyle w:val="a4"/>
        <w:ind w:firstLineChars="0" w:firstLine="0"/>
        <w:jc w:val="center"/>
      </w:pPr>
      <w:r>
        <w:rPr>
          <w:rFonts w:hint="eastAsia"/>
          <w:b/>
          <w:bCs/>
        </w:rPr>
        <w:t>表</w:t>
      </w:r>
      <w:r>
        <w:rPr>
          <w:rFonts w:hint="eastAsia"/>
          <w:b/>
          <w:bCs/>
        </w:rPr>
        <w:t xml:space="preserve">4-3  </w:t>
      </w:r>
      <w:r>
        <w:rPr>
          <w:rFonts w:hint="eastAsia"/>
          <w:b/>
          <w:bCs/>
        </w:rPr>
        <w:t>池体类类储存设施土壤污染预防设施与措施推荐组合</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3339"/>
        <w:gridCol w:w="4507"/>
      </w:tblGrid>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886"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545"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一、地下或者半地下储存池</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）防渗池体</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）泄漏检测设施</w:t>
            </w:r>
          </w:p>
        </w:tc>
        <w:tc>
          <w:tcPr>
            <w:tcW w:w="2545"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）定期检查泄漏检测设施，确保正常运行</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）防渗池体</w:t>
            </w:r>
          </w:p>
        </w:tc>
        <w:tc>
          <w:tcPr>
            <w:tcW w:w="2545"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）定期检查防渗、密封效果</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二、离地储存池</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）防渗池体</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）渗漏、流失的液体能得到有效收集并定期清理</w:t>
            </w:r>
          </w:p>
        </w:tc>
        <w:tc>
          <w:tcPr>
            <w:tcW w:w="2545"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）日常维护</w:t>
            </w:r>
          </w:p>
        </w:tc>
      </w:tr>
    </w:tbl>
    <w:p w:rsidR="002E0378" w:rsidRDefault="005C380A">
      <w:pPr>
        <w:pStyle w:val="a4"/>
        <w:ind w:firstLine="480"/>
      </w:pPr>
      <w:r>
        <w:rPr>
          <w:rFonts w:hint="eastAsia"/>
        </w:rPr>
        <w:t>经排查，吉林省固体废物处理有限责任公司内储存池主要为污水池适用于“一、地下或者半地下储存池”组合</w:t>
      </w:r>
      <w:r>
        <w:rPr>
          <w:rFonts w:hint="eastAsia"/>
          <w:lang w:val="en-US"/>
        </w:rPr>
        <w:t>2</w:t>
      </w:r>
      <w:r>
        <w:rPr>
          <w:rFonts w:hint="eastAsia"/>
        </w:rPr>
        <w:t>。</w:t>
      </w: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2E0378">
      <w:pPr>
        <w:pStyle w:val="ab"/>
        <w:ind w:firstLineChars="0" w:firstLine="0"/>
        <w:jc w:val="center"/>
        <w:rPr>
          <w:b/>
          <w:bCs/>
        </w:rPr>
      </w:pPr>
    </w:p>
    <w:p w:rsidR="002E0378" w:rsidRDefault="005C380A">
      <w:pPr>
        <w:pStyle w:val="ab"/>
        <w:ind w:firstLineChars="0" w:firstLine="0"/>
        <w:jc w:val="center"/>
      </w:pPr>
      <w:r>
        <w:rPr>
          <w:rFonts w:hint="eastAsia"/>
          <w:b/>
          <w:bCs/>
        </w:rPr>
        <w:lastRenderedPageBreak/>
        <w:t>表</w:t>
      </w:r>
      <w:r>
        <w:rPr>
          <w:b/>
          <w:bCs/>
        </w:rPr>
        <w:t>4-</w:t>
      </w:r>
      <w:r>
        <w:rPr>
          <w:rFonts w:hint="eastAsia"/>
          <w:b/>
          <w:bCs/>
          <w:lang w:val="en-US"/>
        </w:rPr>
        <w:t xml:space="preserve">4 </w:t>
      </w:r>
      <w:r>
        <w:rPr>
          <w:b/>
          <w:bCs/>
        </w:rPr>
        <w:t xml:space="preserve"> </w:t>
      </w:r>
      <w:r>
        <w:rPr>
          <w:rFonts w:hint="eastAsia"/>
          <w:b/>
          <w:bCs/>
        </w:rPr>
        <w:t>池体类储存设施土壤污染隐患排查</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94"/>
        <w:gridCol w:w="790"/>
        <w:gridCol w:w="3666"/>
        <w:gridCol w:w="1570"/>
        <w:gridCol w:w="1506"/>
      </w:tblGrid>
      <w:tr w:rsidR="002E0378">
        <w:trPr>
          <w:trHeight w:val="397"/>
        </w:trPr>
        <w:tc>
          <w:tcPr>
            <w:tcW w:w="240"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序号</w:t>
            </w:r>
          </w:p>
        </w:tc>
        <w:tc>
          <w:tcPr>
            <w:tcW w:w="505"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名称</w:t>
            </w:r>
          </w:p>
        </w:tc>
        <w:tc>
          <w:tcPr>
            <w:tcW w:w="446"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hint="eastAsia"/>
                <w:b/>
                <w:bCs/>
                <w:kern w:val="0"/>
                <w:sz w:val="18"/>
                <w:szCs w:val="18"/>
                <w:lang w:bidi="ar"/>
              </w:rPr>
              <w:t>类型</w:t>
            </w:r>
          </w:p>
        </w:tc>
        <w:tc>
          <w:tcPr>
            <w:tcW w:w="2069" w:type="pct"/>
            <w:vAlign w:val="center"/>
          </w:tcPr>
          <w:p w:rsidR="002E0378" w:rsidRDefault="005C380A">
            <w:pPr>
              <w:adjustRightInd w:val="0"/>
              <w:snapToGrid w:val="0"/>
              <w:rPr>
                <w:rFonts w:ascii="Times New Roman" w:hAnsi="Times New Roman"/>
                <w:b/>
                <w:bCs/>
                <w:kern w:val="0"/>
                <w:sz w:val="18"/>
                <w:szCs w:val="18"/>
                <w:lang w:bidi="ar"/>
              </w:rPr>
            </w:pPr>
            <w:r>
              <w:rPr>
                <w:rFonts w:ascii="Times New Roman" w:hAnsi="Times New Roman" w:hint="eastAsia"/>
                <w:b/>
                <w:bCs/>
                <w:kern w:val="0"/>
                <w:sz w:val="18"/>
                <w:szCs w:val="18"/>
                <w:lang w:bidi="ar"/>
              </w:rPr>
              <w:t>现场照片</w:t>
            </w:r>
          </w:p>
        </w:tc>
        <w:tc>
          <w:tcPr>
            <w:tcW w:w="886"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土壤污染预防</w:t>
            </w:r>
            <w:r>
              <w:rPr>
                <w:rFonts w:ascii="Times New Roman" w:hAnsi="Times New Roman" w:hint="eastAsia"/>
                <w:b/>
                <w:bCs/>
                <w:kern w:val="0"/>
                <w:sz w:val="18"/>
                <w:szCs w:val="18"/>
                <w:lang w:bidi="ar"/>
              </w:rPr>
              <w:t>设施</w:t>
            </w:r>
            <w:r>
              <w:rPr>
                <w:rFonts w:ascii="Times New Roman" w:hAnsi="Times New Roman" w:hint="eastAsia"/>
                <w:b/>
                <w:bCs/>
                <w:kern w:val="0"/>
                <w:sz w:val="18"/>
                <w:szCs w:val="18"/>
                <w:lang w:bidi="ar"/>
              </w:rPr>
              <w:t>/</w:t>
            </w:r>
            <w:r>
              <w:rPr>
                <w:rFonts w:ascii="Times New Roman" w:hAnsi="Times New Roman"/>
                <w:b/>
                <w:bCs/>
                <w:kern w:val="0"/>
                <w:sz w:val="18"/>
                <w:szCs w:val="18"/>
                <w:lang w:bidi="ar"/>
              </w:rPr>
              <w:t>措施</w:t>
            </w:r>
          </w:p>
        </w:tc>
        <w:tc>
          <w:tcPr>
            <w:tcW w:w="850"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企业实际情况</w:t>
            </w:r>
          </w:p>
        </w:tc>
      </w:tr>
      <w:tr w:rsidR="002E0378">
        <w:trPr>
          <w:trHeight w:val="2330"/>
        </w:trPr>
        <w:tc>
          <w:tcPr>
            <w:tcW w:w="240" w:type="pct"/>
            <w:vAlign w:val="center"/>
          </w:tcPr>
          <w:p w:rsidR="002E0378" w:rsidRDefault="005C380A">
            <w:pPr>
              <w:adjustRightInd w:val="0"/>
              <w:snapToGrid w:val="0"/>
              <w:jc w:val="left"/>
              <w:rPr>
                <w:rFonts w:ascii="Times New Roman" w:hAnsi="Times New Roman"/>
                <w:kern w:val="0"/>
                <w:sz w:val="18"/>
                <w:szCs w:val="18"/>
                <w:lang w:bidi="ar"/>
              </w:rPr>
            </w:pPr>
            <w:bookmarkStart w:id="58" w:name="_Toc8938"/>
            <w:r>
              <w:rPr>
                <w:rFonts w:ascii="Times New Roman" w:hAnsi="Times New Roman" w:hint="eastAsia"/>
                <w:kern w:val="0"/>
                <w:sz w:val="18"/>
                <w:szCs w:val="18"/>
                <w:lang w:bidi="ar"/>
              </w:rPr>
              <w:t>1</w:t>
            </w:r>
          </w:p>
        </w:tc>
        <w:tc>
          <w:tcPr>
            <w:tcW w:w="505"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污水池</w:t>
            </w:r>
          </w:p>
        </w:tc>
        <w:tc>
          <w:tcPr>
            <w:tcW w:w="446" w:type="pct"/>
            <w:vAlign w:val="center"/>
          </w:tcPr>
          <w:p w:rsidR="002E0378" w:rsidRDefault="005C380A">
            <w:pPr>
              <w:adjustRightInd w:val="0"/>
              <w:snapToGrid w:val="0"/>
              <w:ind w:leftChars="-50" w:left="-105" w:rightChars="-50" w:right="-105"/>
              <w:rPr>
                <w:rFonts w:ascii="Times New Roman" w:hAnsi="Times New Roman"/>
                <w:kern w:val="0"/>
                <w:sz w:val="18"/>
                <w:szCs w:val="18"/>
                <w:lang w:bidi="ar"/>
              </w:rPr>
            </w:pPr>
            <w:r>
              <w:rPr>
                <w:rFonts w:ascii="Times New Roman" w:hAnsi="Times New Roman" w:hint="eastAsia"/>
                <w:kern w:val="0"/>
                <w:sz w:val="18"/>
                <w:szCs w:val="18"/>
                <w:lang w:bidi="ar"/>
              </w:rPr>
              <w:t>半地下储存池</w:t>
            </w:r>
          </w:p>
        </w:tc>
        <w:tc>
          <w:tcPr>
            <w:tcW w:w="2069"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2176145" cy="1224280"/>
                  <wp:effectExtent l="0" t="0" r="14605" b="13970"/>
                  <wp:docPr id="12" name="图片 12" descr="5ed4ca12e2efa3493e9d05f36d9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ed4ca12e2efa3493e9d05f36d9f6f7"/>
                          <pic:cNvPicPr>
                            <a:picLocks noChangeAspect="1"/>
                          </pic:cNvPicPr>
                        </pic:nvPicPr>
                        <pic:blipFill>
                          <a:blip r:embed="rId28"/>
                          <a:stretch>
                            <a:fillRect/>
                          </a:stretch>
                        </pic:blipFill>
                        <pic:spPr>
                          <a:xfrm>
                            <a:off x="0" y="0"/>
                            <a:ext cx="2176145" cy="1224280"/>
                          </a:xfrm>
                          <a:prstGeom prst="rect">
                            <a:avLst/>
                          </a:prstGeom>
                        </pic:spPr>
                      </pic:pic>
                    </a:graphicData>
                  </a:graphic>
                </wp:inline>
              </w:drawing>
            </w:r>
          </w:p>
        </w:tc>
        <w:tc>
          <w:tcPr>
            <w:tcW w:w="886" w:type="pct"/>
            <w:vMerge w:val="restar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1</w:t>
            </w:r>
            <w:r>
              <w:rPr>
                <w:rFonts w:ascii="Times New Roman" w:hAnsi="Times New Roman" w:hint="eastAsia"/>
                <w:kern w:val="0"/>
                <w:sz w:val="18"/>
                <w:szCs w:val="18"/>
                <w:lang w:bidi="ar"/>
              </w:rPr>
              <w:t>）防渗池体</w:t>
            </w:r>
          </w:p>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2</w:t>
            </w:r>
            <w:r>
              <w:rPr>
                <w:rFonts w:ascii="Times New Roman" w:hAnsi="Times New Roman" w:hint="eastAsia"/>
                <w:kern w:val="0"/>
                <w:sz w:val="18"/>
                <w:szCs w:val="18"/>
                <w:lang w:bidi="ar"/>
              </w:rPr>
              <w:t>）定期检查防渗密封效果</w:t>
            </w:r>
          </w:p>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3</w:t>
            </w:r>
            <w:r>
              <w:rPr>
                <w:rFonts w:ascii="Times New Roman" w:hAnsi="Times New Roman" w:hint="eastAsia"/>
                <w:kern w:val="0"/>
                <w:sz w:val="18"/>
                <w:szCs w:val="18"/>
                <w:lang w:bidi="ar"/>
              </w:rPr>
              <w:t>）日常目视检查</w:t>
            </w:r>
          </w:p>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4</w:t>
            </w:r>
            <w:r>
              <w:rPr>
                <w:rFonts w:ascii="Times New Roman" w:hAnsi="Times New Roman" w:hint="eastAsia"/>
                <w:kern w:val="0"/>
                <w:sz w:val="18"/>
                <w:szCs w:val="18"/>
                <w:lang w:bidi="ar"/>
              </w:rPr>
              <w:t>）日常维护</w:t>
            </w:r>
          </w:p>
        </w:tc>
        <w:tc>
          <w:tcPr>
            <w:tcW w:w="850" w:type="pct"/>
            <w:vMerge w:val="restar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1</w:t>
            </w:r>
            <w:r>
              <w:rPr>
                <w:rFonts w:ascii="Times New Roman" w:hAnsi="Times New Roman" w:hint="eastAsia"/>
                <w:kern w:val="0"/>
                <w:sz w:val="18"/>
                <w:szCs w:val="18"/>
                <w:lang w:bidi="ar"/>
              </w:rPr>
              <w:t>）为防渗池体</w:t>
            </w:r>
          </w:p>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w:t>
            </w:r>
            <w:r>
              <w:rPr>
                <w:rFonts w:ascii="Times New Roman" w:hAnsi="Times New Roman" w:hint="eastAsia"/>
                <w:kern w:val="0"/>
                <w:sz w:val="18"/>
                <w:szCs w:val="18"/>
                <w:lang w:bidi="ar"/>
              </w:rPr>
              <w:t>2</w:t>
            </w:r>
            <w:r>
              <w:rPr>
                <w:rFonts w:ascii="Times New Roman" w:hAnsi="Times New Roman" w:hint="eastAsia"/>
                <w:kern w:val="0"/>
                <w:sz w:val="18"/>
                <w:szCs w:val="18"/>
                <w:lang w:bidi="ar"/>
              </w:rPr>
              <w:t>）有专人进行巡查及维护</w:t>
            </w:r>
          </w:p>
        </w:tc>
      </w:tr>
      <w:tr w:rsidR="002E0378">
        <w:trPr>
          <w:trHeight w:val="2330"/>
        </w:trPr>
        <w:tc>
          <w:tcPr>
            <w:tcW w:w="240"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2</w:t>
            </w:r>
          </w:p>
        </w:tc>
        <w:tc>
          <w:tcPr>
            <w:tcW w:w="505"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kern w:val="0"/>
                <w:sz w:val="18"/>
                <w:szCs w:val="18"/>
                <w:lang w:bidi="ar"/>
              </w:rPr>
              <w:t>渗滤液池</w:t>
            </w:r>
          </w:p>
        </w:tc>
        <w:tc>
          <w:tcPr>
            <w:tcW w:w="446" w:type="pct"/>
            <w:vAlign w:val="center"/>
          </w:tcPr>
          <w:p w:rsidR="002E0378" w:rsidRDefault="005C380A">
            <w:pPr>
              <w:adjustRightInd w:val="0"/>
              <w:snapToGrid w:val="0"/>
              <w:ind w:leftChars="-50" w:left="-105" w:rightChars="-50" w:right="-105"/>
              <w:rPr>
                <w:rFonts w:ascii="Times New Roman" w:hAnsi="Times New Roman"/>
                <w:kern w:val="0"/>
                <w:sz w:val="18"/>
                <w:szCs w:val="18"/>
                <w:lang w:bidi="ar"/>
              </w:rPr>
            </w:pPr>
            <w:r>
              <w:rPr>
                <w:rFonts w:ascii="Times New Roman" w:hAnsi="Times New Roman" w:hint="eastAsia"/>
                <w:kern w:val="0"/>
                <w:sz w:val="18"/>
                <w:szCs w:val="18"/>
                <w:lang w:bidi="ar"/>
              </w:rPr>
              <w:t>地下储池</w:t>
            </w:r>
          </w:p>
        </w:tc>
        <w:tc>
          <w:tcPr>
            <w:tcW w:w="2069"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2176145" cy="1224280"/>
                  <wp:effectExtent l="0" t="0" r="14605" b="13970"/>
                  <wp:docPr id="15" name="图片 15" descr="d5d5e283f60fa005ea4177350b87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5d5e283f60fa005ea4177350b87cae"/>
                          <pic:cNvPicPr>
                            <a:picLocks noChangeAspect="1"/>
                          </pic:cNvPicPr>
                        </pic:nvPicPr>
                        <pic:blipFill>
                          <a:blip r:embed="rId29"/>
                          <a:stretch>
                            <a:fillRect/>
                          </a:stretch>
                        </pic:blipFill>
                        <pic:spPr>
                          <a:xfrm>
                            <a:off x="0" y="0"/>
                            <a:ext cx="2176145" cy="1224280"/>
                          </a:xfrm>
                          <a:prstGeom prst="rect">
                            <a:avLst/>
                          </a:prstGeom>
                        </pic:spPr>
                      </pic:pic>
                    </a:graphicData>
                  </a:graphic>
                </wp:inline>
              </w:drawing>
            </w:r>
          </w:p>
        </w:tc>
        <w:tc>
          <w:tcPr>
            <w:tcW w:w="886" w:type="pct"/>
            <w:vMerge/>
            <w:vAlign w:val="center"/>
          </w:tcPr>
          <w:p w:rsidR="002E0378" w:rsidRDefault="002E0378">
            <w:pPr>
              <w:adjustRightInd w:val="0"/>
              <w:snapToGrid w:val="0"/>
              <w:jc w:val="left"/>
              <w:rPr>
                <w:rFonts w:ascii="Times New Roman" w:hAnsi="Times New Roman"/>
                <w:kern w:val="0"/>
                <w:sz w:val="18"/>
                <w:szCs w:val="18"/>
                <w:lang w:bidi="ar"/>
              </w:rPr>
            </w:pPr>
          </w:p>
        </w:tc>
        <w:tc>
          <w:tcPr>
            <w:tcW w:w="850" w:type="pct"/>
            <w:vMerge/>
            <w:vAlign w:val="center"/>
          </w:tcPr>
          <w:p w:rsidR="002E0378" w:rsidRDefault="002E0378">
            <w:pPr>
              <w:adjustRightInd w:val="0"/>
              <w:snapToGrid w:val="0"/>
              <w:jc w:val="left"/>
              <w:rPr>
                <w:rFonts w:ascii="Times New Roman" w:hAnsi="Times New Roman"/>
                <w:kern w:val="0"/>
                <w:sz w:val="18"/>
                <w:szCs w:val="18"/>
                <w:lang w:bidi="ar"/>
              </w:rPr>
            </w:pPr>
          </w:p>
        </w:tc>
      </w:tr>
    </w:tbl>
    <w:p w:rsidR="002E0378" w:rsidRDefault="005C380A">
      <w:pPr>
        <w:pStyle w:val="3"/>
        <w:rPr>
          <w:rFonts w:cs="宋体"/>
        </w:rPr>
      </w:pPr>
      <w:r>
        <w:t>4.1.2</w:t>
      </w:r>
      <w:r>
        <w:rPr>
          <w:rFonts w:hint="eastAsia"/>
        </w:rPr>
        <w:t xml:space="preserve"> </w:t>
      </w:r>
      <w:r>
        <w:t>散装液体转运与厂内运输区</w:t>
      </w:r>
      <w:bookmarkEnd w:id="58"/>
    </w:p>
    <w:p w:rsidR="002E0378" w:rsidRDefault="005C380A">
      <w:pPr>
        <w:pStyle w:val="a4"/>
        <w:ind w:firstLine="480"/>
        <w:rPr>
          <w:lang w:val="en-US"/>
        </w:rPr>
      </w:pPr>
      <w:r>
        <w:rPr>
          <w:rFonts w:hint="eastAsia"/>
          <w:lang w:val="en-US"/>
        </w:rPr>
        <w:t>1</w:t>
      </w:r>
      <w:r>
        <w:rPr>
          <w:rFonts w:hint="eastAsia"/>
          <w:lang w:val="en-US"/>
        </w:rPr>
        <w:t>、管道运输</w:t>
      </w:r>
      <w:r>
        <w:rPr>
          <w:rFonts w:hint="eastAsia"/>
          <w:lang w:val="en-US"/>
        </w:rPr>
        <w:t xml:space="preserve"> </w:t>
      </w:r>
    </w:p>
    <w:p w:rsidR="002E0378" w:rsidRDefault="005C380A">
      <w:pPr>
        <w:pStyle w:val="a4"/>
        <w:ind w:firstLine="480"/>
      </w:pPr>
      <w:r>
        <w:rPr>
          <w:rFonts w:hint="eastAsia"/>
        </w:rPr>
        <w:t>包括地下管道和地上管道。管道运输造成土壤污染主要是由于管道的内、外腐蚀造成泄漏、渗漏。一般而言，地下管道具有隐蔽性，土壤污染隐患更高。</w:t>
      </w:r>
    </w:p>
    <w:p w:rsidR="002E0378" w:rsidRDefault="005C380A">
      <w:pPr>
        <w:pStyle w:val="a4"/>
        <w:ind w:firstLineChars="0" w:firstLine="0"/>
        <w:jc w:val="center"/>
      </w:pPr>
      <w:r>
        <w:rPr>
          <w:rFonts w:hint="eastAsia"/>
          <w:b/>
          <w:bCs/>
        </w:rPr>
        <w:t>表</w:t>
      </w:r>
      <w:r>
        <w:rPr>
          <w:rFonts w:hint="eastAsia"/>
          <w:b/>
          <w:bCs/>
        </w:rPr>
        <w:t>4-</w:t>
      </w:r>
      <w:r>
        <w:rPr>
          <w:rFonts w:hint="eastAsia"/>
          <w:b/>
          <w:bCs/>
          <w:lang w:val="en-US"/>
        </w:rPr>
        <w:t>5</w:t>
      </w:r>
      <w:r>
        <w:rPr>
          <w:rFonts w:hint="eastAsia"/>
          <w:b/>
          <w:bCs/>
        </w:rPr>
        <w:t xml:space="preserve">  </w:t>
      </w:r>
      <w:r>
        <w:rPr>
          <w:rFonts w:hint="eastAsia"/>
          <w:b/>
          <w:bCs/>
        </w:rPr>
        <w:t>管道运输土壤污染预防设施与措施推荐组合</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2639"/>
        <w:gridCol w:w="5208"/>
      </w:tblGrid>
      <w:tr w:rsidR="002E0378">
        <w:trPr>
          <w:trHeight w:val="397"/>
          <w:tblHeader/>
          <w:jc w:val="center"/>
        </w:trPr>
        <w:tc>
          <w:tcPr>
            <w:tcW w:w="567"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491"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940"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一、地下管道</w:t>
            </w:r>
          </w:p>
        </w:tc>
      </w:tr>
      <w:tr w:rsidR="002E0378">
        <w:trPr>
          <w:trHeight w:val="397"/>
          <w:tblHeader/>
          <w:jc w:val="center"/>
        </w:trPr>
        <w:tc>
          <w:tcPr>
            <w:tcW w:w="567"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49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单层管道</w:t>
            </w:r>
          </w:p>
        </w:tc>
        <w:tc>
          <w:tcPr>
            <w:tcW w:w="2940"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定期检测管道渗漏情况（内检测、外检测及其他专项检测）</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根据管道检测结果，制定并落实管道维护方案</w:t>
            </w:r>
          </w:p>
        </w:tc>
      </w:tr>
      <w:tr w:rsidR="002E0378">
        <w:trPr>
          <w:trHeight w:val="397"/>
          <w:tblHeader/>
          <w:jc w:val="center"/>
        </w:trPr>
        <w:tc>
          <w:tcPr>
            <w:tcW w:w="567"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49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双层管道</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泄漏检测设施</w:t>
            </w:r>
          </w:p>
        </w:tc>
        <w:tc>
          <w:tcPr>
            <w:tcW w:w="2940"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定期检查泄漏检测设施，确保正常运行</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二、地上管道</w:t>
            </w:r>
          </w:p>
        </w:tc>
      </w:tr>
      <w:tr w:rsidR="002E0378">
        <w:trPr>
          <w:trHeight w:val="397"/>
          <w:tblHeader/>
          <w:jc w:val="center"/>
        </w:trPr>
        <w:tc>
          <w:tcPr>
            <w:tcW w:w="567"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49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注意管道附件处的渗漏、泄漏</w:t>
            </w:r>
          </w:p>
        </w:tc>
        <w:tc>
          <w:tcPr>
            <w:tcW w:w="2940"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定期检测管道渗漏情况</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根据管道检测结果，制定并落实管道维护方案</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4</w:t>
            </w:r>
            <w:r>
              <w:rPr>
                <w:rFonts w:ascii="Times New Roman" w:hAnsi="Times New Roman" w:hint="eastAsia"/>
                <w:sz w:val="18"/>
                <w:szCs w:val="18"/>
              </w:rPr>
              <w:t>）</w:t>
            </w:r>
            <w:r>
              <w:rPr>
                <w:rFonts w:ascii="Times New Roman" w:hAnsi="Times New Roman"/>
                <w:sz w:val="18"/>
                <w:szCs w:val="18"/>
              </w:rPr>
              <w:t>有效应对泄漏事件</w:t>
            </w:r>
          </w:p>
        </w:tc>
      </w:tr>
    </w:tbl>
    <w:p w:rsidR="002E0378" w:rsidRDefault="005C380A">
      <w:pPr>
        <w:pStyle w:val="a4"/>
        <w:ind w:firstLine="480"/>
      </w:pPr>
      <w:r>
        <w:rPr>
          <w:rFonts w:hint="eastAsia"/>
        </w:rPr>
        <w:lastRenderedPageBreak/>
        <w:t>经排查，吉林省固体废物处理有限责任公司内涉及地上管道传输系统。地上管道传输主要为车间及附属设施物料输送，适用于“二、地上管道”组合</w:t>
      </w:r>
      <w:r>
        <w:rPr>
          <w:rFonts w:hint="eastAsia"/>
        </w:rPr>
        <w:t>1</w:t>
      </w:r>
      <w:r>
        <w:rPr>
          <w:rFonts w:hint="eastAsia"/>
        </w:rPr>
        <w:t>。</w:t>
      </w:r>
    </w:p>
    <w:p w:rsidR="002E0378" w:rsidRDefault="005C380A">
      <w:pPr>
        <w:pStyle w:val="a4"/>
        <w:ind w:firstLineChars="0" w:firstLine="0"/>
        <w:jc w:val="center"/>
        <w:rPr>
          <w:rFonts w:ascii="宋体" w:hAnsi="宋体"/>
        </w:rPr>
      </w:pPr>
      <w:r>
        <w:rPr>
          <w:rFonts w:hint="eastAsia"/>
          <w:b/>
          <w:bCs/>
        </w:rPr>
        <w:t>表</w:t>
      </w:r>
      <w:r>
        <w:rPr>
          <w:rFonts w:hint="eastAsia"/>
          <w:b/>
          <w:bCs/>
        </w:rPr>
        <w:t>4-</w:t>
      </w:r>
      <w:r>
        <w:rPr>
          <w:rFonts w:hint="eastAsia"/>
          <w:b/>
          <w:bCs/>
          <w:lang w:val="en-US"/>
        </w:rPr>
        <w:t>6</w:t>
      </w:r>
      <w:r>
        <w:rPr>
          <w:rFonts w:hint="eastAsia"/>
          <w:b/>
          <w:bCs/>
        </w:rPr>
        <w:t xml:space="preserve">  </w:t>
      </w:r>
      <w:r>
        <w:rPr>
          <w:rFonts w:hint="eastAsia"/>
          <w:b/>
          <w:bCs/>
        </w:rPr>
        <w:t>管道运输土壤污染隐患排查</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96"/>
        <w:gridCol w:w="396"/>
        <w:gridCol w:w="4356"/>
        <w:gridCol w:w="1459"/>
        <w:gridCol w:w="1844"/>
      </w:tblGrid>
      <w:tr w:rsidR="002E0378">
        <w:trPr>
          <w:trHeight w:val="397"/>
          <w:tblHeader/>
          <w:jc w:val="center"/>
        </w:trPr>
        <w:tc>
          <w:tcPr>
            <w:tcW w:w="254" w:type="pct"/>
            <w:vAlign w:val="center"/>
          </w:tcPr>
          <w:p w:rsidR="002E0378" w:rsidRDefault="005C380A">
            <w:pPr>
              <w:adjustRightInd w:val="0"/>
              <w:snapToGrid w:val="0"/>
              <w:ind w:leftChars="-50" w:left="-105" w:rightChars="-50" w:right="-105"/>
              <w:jc w:val="both"/>
              <w:rPr>
                <w:rFonts w:ascii="Times New Roman" w:hAnsi="Times New Roman"/>
                <w:b/>
                <w:bCs/>
                <w:kern w:val="0"/>
                <w:sz w:val="18"/>
                <w:szCs w:val="18"/>
                <w:lang w:bidi="ar"/>
              </w:rPr>
            </w:pPr>
            <w:r>
              <w:rPr>
                <w:rFonts w:ascii="Times New Roman" w:hAnsi="Times New Roman"/>
                <w:b/>
                <w:bCs/>
                <w:kern w:val="0"/>
                <w:sz w:val="18"/>
                <w:szCs w:val="18"/>
                <w:lang w:bidi="ar"/>
              </w:rPr>
              <w:t>管道位置</w:t>
            </w:r>
          </w:p>
        </w:tc>
        <w:tc>
          <w:tcPr>
            <w:tcW w:w="285"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运输液体名称</w:t>
            </w:r>
          </w:p>
        </w:tc>
        <w:tc>
          <w:tcPr>
            <w:tcW w:w="311"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类型</w:t>
            </w:r>
          </w:p>
        </w:tc>
        <w:tc>
          <w:tcPr>
            <w:tcW w:w="1653" w:type="pct"/>
            <w:vAlign w:val="center"/>
          </w:tcPr>
          <w:p w:rsidR="002E0378" w:rsidRDefault="005C380A">
            <w:pPr>
              <w:adjustRightInd w:val="0"/>
              <w:snapToGrid w:val="0"/>
              <w:rPr>
                <w:rFonts w:ascii="Times New Roman" w:hAnsi="Times New Roman"/>
                <w:b/>
                <w:bCs/>
                <w:kern w:val="0"/>
                <w:sz w:val="18"/>
                <w:szCs w:val="18"/>
                <w:lang w:bidi="ar"/>
              </w:rPr>
            </w:pPr>
            <w:r>
              <w:rPr>
                <w:rFonts w:ascii="Times New Roman" w:hAnsi="Times New Roman"/>
                <w:b/>
                <w:bCs/>
                <w:kern w:val="0"/>
                <w:sz w:val="18"/>
                <w:szCs w:val="18"/>
                <w:lang w:bidi="ar"/>
              </w:rPr>
              <w:t>现场照片</w:t>
            </w:r>
          </w:p>
        </w:tc>
        <w:tc>
          <w:tcPr>
            <w:tcW w:w="1292"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土壤污染预防设施</w:t>
            </w:r>
            <w:r>
              <w:rPr>
                <w:rFonts w:ascii="Times New Roman" w:hAnsi="Times New Roman"/>
                <w:b/>
                <w:bCs/>
                <w:kern w:val="0"/>
                <w:sz w:val="18"/>
                <w:szCs w:val="18"/>
                <w:lang w:bidi="ar"/>
              </w:rPr>
              <w:t>/</w:t>
            </w:r>
            <w:r>
              <w:rPr>
                <w:rFonts w:ascii="Times New Roman" w:hAnsi="Times New Roman"/>
                <w:b/>
                <w:bCs/>
                <w:kern w:val="0"/>
                <w:sz w:val="18"/>
                <w:szCs w:val="18"/>
                <w:lang w:bidi="ar"/>
              </w:rPr>
              <w:t>措施</w:t>
            </w:r>
          </w:p>
        </w:tc>
        <w:tc>
          <w:tcPr>
            <w:tcW w:w="1203"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企业实际情况</w:t>
            </w:r>
          </w:p>
        </w:tc>
      </w:tr>
      <w:tr w:rsidR="002E0378">
        <w:trPr>
          <w:trHeight w:val="397"/>
          <w:jc w:val="center"/>
        </w:trPr>
        <w:tc>
          <w:tcPr>
            <w:tcW w:w="254"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sz w:val="18"/>
                <w:szCs w:val="18"/>
              </w:rPr>
              <w:t>生产装置</w:t>
            </w:r>
          </w:p>
        </w:tc>
        <w:tc>
          <w:tcPr>
            <w:tcW w:w="285" w:type="pct"/>
            <w:vAlign w:val="center"/>
          </w:tcPr>
          <w:p w:rsidR="002E0378" w:rsidRDefault="005C380A">
            <w:pPr>
              <w:adjustRightInd w:val="0"/>
              <w:snapToGrid w:val="0"/>
              <w:rPr>
                <w:rFonts w:ascii="Times New Roman" w:hAnsi="Times New Roman"/>
                <w:sz w:val="18"/>
                <w:szCs w:val="18"/>
              </w:rPr>
            </w:pPr>
            <w:r>
              <w:rPr>
                <w:rFonts w:ascii="Times New Roman" w:hAnsi="Times New Roman" w:hint="eastAsia"/>
                <w:sz w:val="18"/>
                <w:szCs w:val="18"/>
              </w:rPr>
              <w:t>污水</w:t>
            </w:r>
          </w:p>
        </w:tc>
        <w:tc>
          <w:tcPr>
            <w:tcW w:w="311"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sz w:val="18"/>
                <w:szCs w:val="18"/>
              </w:rPr>
              <w:t>地上管道</w:t>
            </w:r>
          </w:p>
        </w:tc>
        <w:tc>
          <w:tcPr>
            <w:tcW w:w="1653"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hint="eastAsia"/>
                <w:noProof/>
                <w:sz w:val="18"/>
                <w:szCs w:val="18"/>
              </w:rPr>
              <w:drawing>
                <wp:inline distT="0" distB="0" distL="114300" distR="114300">
                  <wp:extent cx="2614930" cy="1471295"/>
                  <wp:effectExtent l="0" t="0" r="13970" b="14605"/>
                  <wp:docPr id="7" name="图片 7" descr="f52406efd16f4dcb35be34a11e23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52406efd16f4dcb35be34a11e23ed8"/>
                          <pic:cNvPicPr>
                            <a:picLocks noChangeAspect="1"/>
                          </pic:cNvPicPr>
                        </pic:nvPicPr>
                        <pic:blipFill>
                          <a:blip r:embed="rId30"/>
                          <a:stretch>
                            <a:fillRect/>
                          </a:stretch>
                        </pic:blipFill>
                        <pic:spPr>
                          <a:xfrm>
                            <a:off x="0" y="0"/>
                            <a:ext cx="2614930" cy="1471295"/>
                          </a:xfrm>
                          <a:prstGeom prst="rect">
                            <a:avLst/>
                          </a:prstGeom>
                        </pic:spPr>
                      </pic:pic>
                    </a:graphicData>
                  </a:graphic>
                </wp:inline>
              </w:drawing>
            </w:r>
          </w:p>
        </w:tc>
        <w:tc>
          <w:tcPr>
            <w:tcW w:w="1292"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）注意管道附件处的渗漏、泄漏</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）定期检测管道渗漏情况</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）根据管道检测结果，制定并落实管道维护方案</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4</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5</w:t>
            </w:r>
            <w:r>
              <w:rPr>
                <w:rFonts w:ascii="Times New Roman" w:hAnsi="Times New Roman"/>
                <w:sz w:val="18"/>
                <w:szCs w:val="18"/>
              </w:rPr>
              <w:t>）有效应对泄漏事件</w:t>
            </w:r>
          </w:p>
        </w:tc>
        <w:tc>
          <w:tcPr>
            <w:tcW w:w="120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设置专人负责管道日常巡检，针对事故管理配备专员和应急桶、水泵设备；</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制定了管道日程维护方案，并按照方案定期检查维护；</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安排专人进行日常巡检；</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4</w:t>
            </w:r>
            <w:r>
              <w:rPr>
                <w:rFonts w:ascii="Times New Roman" w:hAnsi="Times New Roman" w:hint="eastAsia"/>
                <w:sz w:val="18"/>
                <w:szCs w:val="18"/>
              </w:rPr>
              <w:t>）</w:t>
            </w:r>
            <w:r>
              <w:rPr>
                <w:rFonts w:ascii="Times New Roman" w:hAnsi="Times New Roman"/>
                <w:sz w:val="18"/>
                <w:szCs w:val="18"/>
              </w:rPr>
              <w:t>配备专人以及设备、物资，能够及时有效地对应突发泄漏事件。</w:t>
            </w:r>
          </w:p>
        </w:tc>
      </w:tr>
    </w:tbl>
    <w:p w:rsidR="002E0378" w:rsidRDefault="005C380A">
      <w:pPr>
        <w:pStyle w:val="a4"/>
        <w:ind w:firstLine="480"/>
        <w:rPr>
          <w:lang w:val="en-US"/>
        </w:rPr>
      </w:pPr>
      <w:r>
        <w:rPr>
          <w:rFonts w:hint="eastAsia"/>
          <w:lang w:val="en-US"/>
        </w:rPr>
        <w:t>2</w:t>
      </w:r>
      <w:r>
        <w:rPr>
          <w:rFonts w:hint="eastAsia"/>
          <w:lang w:val="en-US"/>
        </w:rPr>
        <w:t>、传输泵</w:t>
      </w:r>
    </w:p>
    <w:p w:rsidR="002E0378" w:rsidRDefault="005C380A">
      <w:pPr>
        <w:pStyle w:val="a4"/>
        <w:ind w:firstLine="480"/>
      </w:pPr>
      <w:r>
        <w:rPr>
          <w:rFonts w:hint="eastAsia"/>
        </w:rPr>
        <w:t>传输泵造成土壤污染主要有两种情况：（</w:t>
      </w:r>
      <w:r>
        <w:rPr>
          <w:rFonts w:hint="eastAsia"/>
        </w:rPr>
        <w:t>1</w:t>
      </w:r>
      <w:r>
        <w:rPr>
          <w:rFonts w:hint="eastAsia"/>
        </w:rPr>
        <w:t>）驱动轴或者配件的密封处发生泄漏；（</w:t>
      </w:r>
      <w:r>
        <w:rPr>
          <w:rFonts w:hint="eastAsia"/>
        </w:rPr>
        <w:t>2</w:t>
      </w:r>
      <w:r>
        <w:rPr>
          <w:rFonts w:hint="eastAsia"/>
        </w:rPr>
        <w:t>）润滑油的泄漏或者满溢。</w:t>
      </w:r>
    </w:p>
    <w:p w:rsidR="002E0378" w:rsidRDefault="005C380A">
      <w:pPr>
        <w:pStyle w:val="a4"/>
        <w:ind w:firstLineChars="0" w:firstLine="0"/>
        <w:jc w:val="center"/>
      </w:pPr>
      <w:r>
        <w:rPr>
          <w:rFonts w:hint="eastAsia"/>
          <w:b/>
          <w:bCs/>
        </w:rPr>
        <w:t>表</w:t>
      </w:r>
      <w:r>
        <w:rPr>
          <w:rFonts w:hint="eastAsia"/>
          <w:b/>
          <w:bCs/>
        </w:rPr>
        <w:t>4-</w:t>
      </w:r>
      <w:r>
        <w:rPr>
          <w:rFonts w:hint="eastAsia"/>
          <w:b/>
          <w:bCs/>
          <w:lang w:val="en-US"/>
        </w:rPr>
        <w:t>7</w:t>
      </w:r>
      <w:r>
        <w:rPr>
          <w:rFonts w:hint="eastAsia"/>
          <w:b/>
          <w:bCs/>
        </w:rPr>
        <w:t xml:space="preserve">  </w:t>
      </w:r>
      <w:r>
        <w:rPr>
          <w:rFonts w:hint="eastAsia"/>
          <w:b/>
          <w:bCs/>
        </w:rPr>
        <w:t>传输泵土壤污染预防设施与措施推荐组合</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3131"/>
        <w:gridCol w:w="4714"/>
      </w:tblGrid>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769"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662"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一、密封效果较好的泵（例如采用双端面机械密封等）</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769"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）普通阻隔设施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）进料端安装关闭控制阀门</w:t>
            </w:r>
          </w:p>
        </w:tc>
        <w:tc>
          <w:tcPr>
            <w:tcW w:w="266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）制定并落实泵检修方案</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）有效应对泄漏事件</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769"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）对整个泵体或者关键部件设置防滴漏设施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）进料端安装关闭控制阀门</w:t>
            </w:r>
          </w:p>
        </w:tc>
        <w:tc>
          <w:tcPr>
            <w:tcW w:w="266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）定期清空防滴漏设施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）制定并实施检修方案</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4</w:t>
            </w:r>
            <w:r>
              <w:rPr>
                <w:rFonts w:ascii="Times New Roman" w:hAnsi="Times New Roman"/>
                <w:sz w:val="18"/>
                <w:szCs w:val="18"/>
              </w:rPr>
              <w:t>）日常维护</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二、密封效果一般的泵（例如采用单端面机械密封等）</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lastRenderedPageBreak/>
              <w:t>1</w:t>
            </w:r>
          </w:p>
        </w:tc>
        <w:tc>
          <w:tcPr>
            <w:tcW w:w="1769"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）对整个泵体或者关键部件设置防滴漏设施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）进料端安装关闭控制阀门</w:t>
            </w:r>
          </w:p>
        </w:tc>
        <w:tc>
          <w:tcPr>
            <w:tcW w:w="266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）定期清空防滴漏设施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）制定并落实泵检修方案</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4</w:t>
            </w:r>
            <w:r>
              <w:rPr>
                <w:rFonts w:ascii="Times New Roman" w:hAnsi="Times New Roman"/>
                <w:sz w:val="18"/>
                <w:szCs w:val="18"/>
              </w:rPr>
              <w:t>）日常维护</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769"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）进料端安装关闭控制阀门</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）渗漏、流失的液体能得到有效收集并定期清理</w:t>
            </w:r>
          </w:p>
        </w:tc>
        <w:tc>
          <w:tcPr>
            <w:tcW w:w="266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三、无泄漏离心泵（例如磁力泵、屏蔽泵等）</w:t>
            </w:r>
          </w:p>
        </w:tc>
      </w:tr>
      <w:tr w:rsidR="002E0378">
        <w:trPr>
          <w:trHeight w:val="397"/>
          <w:tblHeader/>
          <w:jc w:val="center"/>
        </w:trPr>
        <w:tc>
          <w:tcPr>
            <w:tcW w:w="568"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769"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）进料端安装关闭控制阀门</w:t>
            </w:r>
          </w:p>
        </w:tc>
        <w:tc>
          <w:tcPr>
            <w:tcW w:w="266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）日常维护</w:t>
            </w:r>
          </w:p>
        </w:tc>
      </w:tr>
    </w:tbl>
    <w:p w:rsidR="002E0378" w:rsidRDefault="005C380A">
      <w:pPr>
        <w:pStyle w:val="a4"/>
        <w:ind w:firstLine="480"/>
      </w:pPr>
      <w:r>
        <w:rPr>
          <w:rFonts w:hint="eastAsia"/>
        </w:rPr>
        <w:t>经排查，吉林省固体废物处理有限责任公司内涉及传输泵。适用于“二、密封效果一般的泵，组合</w:t>
      </w:r>
      <w:r>
        <w:rPr>
          <w:rFonts w:hint="eastAsia"/>
        </w:rPr>
        <w:t>1</w:t>
      </w:r>
      <w:r>
        <w:rPr>
          <w:rFonts w:hint="eastAsia"/>
        </w:rPr>
        <w:t>”</w:t>
      </w:r>
      <w:r>
        <w:t>。</w:t>
      </w:r>
    </w:p>
    <w:p w:rsidR="002E0378" w:rsidRDefault="005C380A">
      <w:pPr>
        <w:pStyle w:val="a4"/>
        <w:ind w:firstLineChars="0" w:firstLine="0"/>
        <w:jc w:val="center"/>
        <w:rPr>
          <w:rFonts w:ascii="宋体" w:hAnsi="宋体"/>
        </w:rPr>
      </w:pPr>
      <w:r>
        <w:rPr>
          <w:rFonts w:hint="eastAsia"/>
          <w:b/>
          <w:bCs/>
        </w:rPr>
        <w:t>表</w:t>
      </w:r>
      <w:r>
        <w:rPr>
          <w:rFonts w:hint="eastAsia"/>
          <w:b/>
          <w:bCs/>
        </w:rPr>
        <w:t>4-</w:t>
      </w:r>
      <w:r>
        <w:rPr>
          <w:rFonts w:hint="eastAsia"/>
          <w:b/>
          <w:bCs/>
          <w:lang w:val="en-US"/>
        </w:rPr>
        <w:t>8</w:t>
      </w:r>
      <w:r>
        <w:rPr>
          <w:rFonts w:hint="eastAsia"/>
          <w:b/>
          <w:bCs/>
        </w:rPr>
        <w:t xml:space="preserve">  </w:t>
      </w:r>
      <w:r>
        <w:rPr>
          <w:rFonts w:hint="eastAsia"/>
          <w:b/>
          <w:bCs/>
        </w:rPr>
        <w:t>传输泵土壤污染隐患排查</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96"/>
        <w:gridCol w:w="3726"/>
        <w:gridCol w:w="2222"/>
        <w:gridCol w:w="2111"/>
      </w:tblGrid>
      <w:tr w:rsidR="002E0378">
        <w:trPr>
          <w:tblHeader/>
          <w:jc w:val="center"/>
        </w:trPr>
        <w:tc>
          <w:tcPr>
            <w:tcW w:w="223"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位置</w:t>
            </w:r>
          </w:p>
        </w:tc>
        <w:tc>
          <w:tcPr>
            <w:tcW w:w="223"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运输物质名称</w:t>
            </w:r>
          </w:p>
        </w:tc>
        <w:tc>
          <w:tcPr>
            <w:tcW w:w="2104" w:type="pct"/>
            <w:vAlign w:val="center"/>
          </w:tcPr>
          <w:p w:rsidR="002E0378" w:rsidRDefault="005C380A">
            <w:pPr>
              <w:adjustRightInd w:val="0"/>
              <w:snapToGrid w:val="0"/>
              <w:rPr>
                <w:rFonts w:ascii="Times New Roman" w:hAnsi="Times New Roman"/>
                <w:b/>
                <w:bCs/>
                <w:kern w:val="0"/>
                <w:sz w:val="18"/>
                <w:szCs w:val="18"/>
                <w:lang w:bidi="ar"/>
              </w:rPr>
            </w:pPr>
            <w:r>
              <w:rPr>
                <w:rFonts w:ascii="Times New Roman" w:hAnsi="Times New Roman"/>
                <w:b/>
                <w:bCs/>
                <w:kern w:val="0"/>
                <w:sz w:val="18"/>
                <w:szCs w:val="18"/>
                <w:lang w:bidi="ar"/>
              </w:rPr>
              <w:t>现场照片</w:t>
            </w:r>
          </w:p>
        </w:tc>
        <w:tc>
          <w:tcPr>
            <w:tcW w:w="1255"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土壤污染预防设施</w:t>
            </w:r>
            <w:r>
              <w:rPr>
                <w:rFonts w:ascii="Times New Roman" w:hAnsi="Times New Roman"/>
                <w:b/>
                <w:bCs/>
                <w:kern w:val="0"/>
                <w:sz w:val="18"/>
                <w:szCs w:val="18"/>
                <w:lang w:bidi="ar"/>
              </w:rPr>
              <w:t>/</w:t>
            </w:r>
            <w:r>
              <w:rPr>
                <w:rFonts w:ascii="Times New Roman" w:hAnsi="Times New Roman"/>
                <w:b/>
                <w:bCs/>
                <w:kern w:val="0"/>
                <w:sz w:val="18"/>
                <w:szCs w:val="18"/>
                <w:lang w:bidi="ar"/>
              </w:rPr>
              <w:t>措施</w:t>
            </w:r>
          </w:p>
        </w:tc>
        <w:tc>
          <w:tcPr>
            <w:tcW w:w="1192"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企业实际情况</w:t>
            </w:r>
          </w:p>
        </w:tc>
      </w:tr>
      <w:tr w:rsidR="002E0378">
        <w:trPr>
          <w:trHeight w:val="1518"/>
          <w:jc w:val="center"/>
        </w:trPr>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sz w:val="18"/>
                <w:szCs w:val="18"/>
              </w:rPr>
              <w:t>污水处理站</w:t>
            </w:r>
          </w:p>
        </w:tc>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污水</w:t>
            </w:r>
          </w:p>
        </w:tc>
        <w:tc>
          <w:tcPr>
            <w:tcW w:w="2104" w:type="pct"/>
            <w:vAlign w:val="center"/>
          </w:tcPr>
          <w:p w:rsidR="002E0378" w:rsidRDefault="005C380A">
            <w:pPr>
              <w:adjustRightInd w:val="0"/>
              <w:snapToGrid w:val="0"/>
              <w:rPr>
                <w:rFonts w:ascii="Times New Roman" w:hAnsi="Times New Roman"/>
                <w:kern w:val="0"/>
                <w:sz w:val="18"/>
                <w:szCs w:val="18"/>
                <w:lang w:bidi="ar"/>
              </w:rPr>
            </w:pPr>
            <w:r>
              <w:rPr>
                <w:rFonts w:ascii="Times New Roman" w:hAnsi="Times New Roman" w:hint="eastAsia"/>
                <w:noProof/>
                <w:kern w:val="0"/>
                <w:sz w:val="18"/>
                <w:szCs w:val="18"/>
              </w:rPr>
              <w:drawing>
                <wp:inline distT="0" distB="0" distL="114300" distR="114300">
                  <wp:extent cx="2217420" cy="1247775"/>
                  <wp:effectExtent l="0" t="0" r="11430" b="9525"/>
                  <wp:docPr id="17" name="图片 17" descr="14e7f6891657edd38bb28a330c428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4e7f6891657edd38bb28a330c4280d"/>
                          <pic:cNvPicPr>
                            <a:picLocks noChangeAspect="1"/>
                          </pic:cNvPicPr>
                        </pic:nvPicPr>
                        <pic:blipFill>
                          <a:blip r:embed="rId31"/>
                          <a:stretch>
                            <a:fillRect/>
                          </a:stretch>
                        </pic:blipFill>
                        <pic:spPr>
                          <a:xfrm>
                            <a:off x="0" y="0"/>
                            <a:ext cx="2217420" cy="1247775"/>
                          </a:xfrm>
                          <a:prstGeom prst="rect">
                            <a:avLst/>
                          </a:prstGeom>
                        </pic:spPr>
                      </pic:pic>
                    </a:graphicData>
                  </a:graphic>
                </wp:inline>
              </w:drawing>
            </w:r>
          </w:p>
        </w:tc>
        <w:tc>
          <w:tcPr>
            <w:tcW w:w="1255" w:type="pct"/>
            <w:vMerge w:val="restart"/>
            <w:vAlign w:val="center"/>
          </w:tcPr>
          <w:p w:rsidR="002E0378" w:rsidRDefault="005C380A">
            <w:pPr>
              <w:numPr>
                <w:ilvl w:val="0"/>
                <w:numId w:val="2"/>
              </w:numPr>
              <w:adjustRightInd w:val="0"/>
              <w:snapToGrid w:val="0"/>
              <w:jc w:val="left"/>
              <w:rPr>
                <w:sz w:val="18"/>
                <w:szCs w:val="18"/>
              </w:rPr>
            </w:pPr>
            <w:r>
              <w:rPr>
                <w:sz w:val="18"/>
                <w:szCs w:val="18"/>
              </w:rPr>
              <w:t>进料端安装关闭控制阀门</w:t>
            </w:r>
          </w:p>
          <w:p w:rsidR="002E0378" w:rsidRDefault="005C380A">
            <w:pPr>
              <w:numPr>
                <w:ilvl w:val="0"/>
                <w:numId w:val="2"/>
              </w:numPr>
              <w:adjustRightInd w:val="0"/>
              <w:snapToGrid w:val="0"/>
              <w:jc w:val="left"/>
              <w:rPr>
                <w:sz w:val="18"/>
                <w:szCs w:val="18"/>
              </w:rPr>
            </w:pPr>
            <w:r>
              <w:rPr>
                <w:sz w:val="18"/>
                <w:szCs w:val="18"/>
              </w:rPr>
              <w:t>日常目视检查</w:t>
            </w:r>
          </w:p>
          <w:p w:rsidR="002E0378" w:rsidRDefault="005C380A">
            <w:pPr>
              <w:numPr>
                <w:ilvl w:val="0"/>
                <w:numId w:val="2"/>
              </w:numPr>
              <w:adjustRightInd w:val="0"/>
              <w:snapToGrid w:val="0"/>
              <w:jc w:val="left"/>
              <w:rPr>
                <w:sz w:val="18"/>
                <w:szCs w:val="18"/>
              </w:rPr>
            </w:pPr>
            <w:r>
              <w:rPr>
                <w:sz w:val="18"/>
                <w:szCs w:val="18"/>
              </w:rPr>
              <w:t>日常维护</w:t>
            </w:r>
          </w:p>
        </w:tc>
        <w:tc>
          <w:tcPr>
            <w:tcW w:w="1192" w:type="pct"/>
            <w:vMerge w:val="restar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）泵为单端面机械密封，地面硬化，周边做防渗处理；</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）安装有关闭控制阀门。</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3</w:t>
            </w:r>
            <w:r>
              <w:rPr>
                <w:rFonts w:ascii="Times New Roman" w:hAnsi="Times New Roman"/>
                <w:sz w:val="18"/>
                <w:szCs w:val="18"/>
              </w:rPr>
              <w:t>）定期开展矿区土壤和地下水监测；</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4</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5</w:t>
            </w:r>
            <w:r>
              <w:rPr>
                <w:rFonts w:ascii="Times New Roman" w:hAnsi="Times New Roman"/>
                <w:sz w:val="18"/>
                <w:szCs w:val="18"/>
              </w:rPr>
              <w:t>）制定了管道泵检修方案，并按照方案定期检查维护</w:t>
            </w:r>
            <w:r>
              <w:rPr>
                <w:rFonts w:ascii="Times New Roman" w:hAnsi="Times New Roman"/>
                <w:kern w:val="0"/>
                <w:sz w:val="18"/>
                <w:szCs w:val="18"/>
                <w:lang w:bidi="ar"/>
              </w:rPr>
              <w:t>及清理</w:t>
            </w:r>
            <w:r>
              <w:rPr>
                <w:rFonts w:ascii="Times New Roman" w:hAnsi="Times New Roman"/>
                <w:sz w:val="18"/>
                <w:szCs w:val="18"/>
              </w:rPr>
              <w:t>。</w:t>
            </w:r>
          </w:p>
        </w:tc>
      </w:tr>
      <w:tr w:rsidR="002E0378">
        <w:trPr>
          <w:trHeight w:val="1383"/>
          <w:jc w:val="center"/>
        </w:trPr>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物化车间</w:t>
            </w:r>
          </w:p>
        </w:tc>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酸液等</w:t>
            </w:r>
          </w:p>
        </w:tc>
        <w:tc>
          <w:tcPr>
            <w:tcW w:w="2104"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hint="eastAsia"/>
                <w:noProof/>
                <w:sz w:val="18"/>
                <w:szCs w:val="18"/>
              </w:rPr>
              <w:drawing>
                <wp:inline distT="0" distB="0" distL="114300" distR="114300">
                  <wp:extent cx="1132840" cy="2014855"/>
                  <wp:effectExtent l="0" t="0" r="10160" b="4445"/>
                  <wp:docPr id="11" name="图片 11" descr="c1ce9ad335238b4abd686c3098cda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1ce9ad335238b4abd686c3098cda2f"/>
                          <pic:cNvPicPr>
                            <a:picLocks noChangeAspect="1"/>
                          </pic:cNvPicPr>
                        </pic:nvPicPr>
                        <pic:blipFill>
                          <a:blip r:embed="rId32"/>
                          <a:stretch>
                            <a:fillRect/>
                          </a:stretch>
                        </pic:blipFill>
                        <pic:spPr>
                          <a:xfrm>
                            <a:off x="0" y="0"/>
                            <a:ext cx="1132840" cy="2014855"/>
                          </a:xfrm>
                          <a:prstGeom prst="rect">
                            <a:avLst/>
                          </a:prstGeom>
                        </pic:spPr>
                      </pic:pic>
                    </a:graphicData>
                  </a:graphic>
                </wp:inline>
              </w:drawing>
            </w:r>
          </w:p>
        </w:tc>
        <w:tc>
          <w:tcPr>
            <w:tcW w:w="1255" w:type="pct"/>
            <w:vMerge/>
            <w:vAlign w:val="center"/>
          </w:tcPr>
          <w:p w:rsidR="002E0378" w:rsidRDefault="002E0378">
            <w:pPr>
              <w:adjustRightInd w:val="0"/>
              <w:snapToGrid w:val="0"/>
              <w:jc w:val="left"/>
              <w:rPr>
                <w:rFonts w:ascii="Times New Roman" w:hAnsi="Times New Roman"/>
                <w:sz w:val="18"/>
                <w:szCs w:val="18"/>
              </w:rPr>
            </w:pPr>
          </w:p>
        </w:tc>
        <w:tc>
          <w:tcPr>
            <w:tcW w:w="1192" w:type="pct"/>
            <w:vMerge/>
            <w:vAlign w:val="center"/>
          </w:tcPr>
          <w:p w:rsidR="002E0378" w:rsidRDefault="002E0378">
            <w:pPr>
              <w:jc w:val="both"/>
              <w:rPr>
                <w:rFonts w:ascii="Times New Roman" w:hAnsi="Times New Roman"/>
                <w:sz w:val="18"/>
                <w:szCs w:val="18"/>
              </w:rPr>
            </w:pPr>
          </w:p>
        </w:tc>
      </w:tr>
      <w:tr w:rsidR="002E0378">
        <w:trPr>
          <w:trHeight w:val="1383"/>
          <w:jc w:val="center"/>
        </w:trPr>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lastRenderedPageBreak/>
              <w:t>焚烧车间</w:t>
            </w:r>
          </w:p>
        </w:tc>
        <w:tc>
          <w:tcPr>
            <w:tcW w:w="223" w:type="pct"/>
            <w:vAlign w:val="center"/>
          </w:tcPr>
          <w:p w:rsidR="002E0378" w:rsidRDefault="005C380A">
            <w:pPr>
              <w:adjustRightInd w:val="0"/>
              <w:snapToGrid w:val="0"/>
              <w:jc w:val="left"/>
              <w:rPr>
                <w:rFonts w:ascii="Times New Roman" w:hAnsi="Times New Roman"/>
                <w:kern w:val="0"/>
                <w:sz w:val="18"/>
                <w:szCs w:val="18"/>
                <w:lang w:bidi="ar"/>
              </w:rPr>
            </w:pPr>
            <w:r>
              <w:rPr>
                <w:rFonts w:ascii="Times New Roman" w:hAnsi="Times New Roman" w:hint="eastAsia"/>
                <w:kern w:val="0"/>
                <w:sz w:val="18"/>
                <w:szCs w:val="18"/>
                <w:lang w:bidi="ar"/>
              </w:rPr>
              <w:t>液碱</w:t>
            </w:r>
          </w:p>
        </w:tc>
        <w:tc>
          <w:tcPr>
            <w:tcW w:w="2104" w:type="pct"/>
            <w:vAlign w:val="center"/>
          </w:tcPr>
          <w:p w:rsidR="002E0378" w:rsidRDefault="005C380A">
            <w:pPr>
              <w:adjustRightInd w:val="0"/>
              <w:snapToGrid w:val="0"/>
              <w:jc w:val="left"/>
              <w:rPr>
                <w:rFonts w:ascii="Times New Roman" w:hAnsi="Times New Roman"/>
                <w:sz w:val="18"/>
                <w:szCs w:val="18"/>
              </w:rPr>
            </w:pPr>
            <w:r>
              <w:rPr>
                <w:rFonts w:ascii="Times New Roman" w:hAnsi="Times New Roman" w:hint="eastAsia"/>
                <w:noProof/>
                <w:sz w:val="18"/>
                <w:szCs w:val="18"/>
              </w:rPr>
              <w:drawing>
                <wp:inline distT="0" distB="0" distL="114300" distR="114300">
                  <wp:extent cx="1163955" cy="2069465"/>
                  <wp:effectExtent l="0" t="0" r="17145" b="6985"/>
                  <wp:docPr id="16" name="图片 16" descr="0c6f6910386e2688b13d5017fd4e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c6f6910386e2688b13d5017fd4ee15"/>
                          <pic:cNvPicPr>
                            <a:picLocks noChangeAspect="1"/>
                          </pic:cNvPicPr>
                        </pic:nvPicPr>
                        <pic:blipFill>
                          <a:blip r:embed="rId33"/>
                          <a:stretch>
                            <a:fillRect/>
                          </a:stretch>
                        </pic:blipFill>
                        <pic:spPr>
                          <a:xfrm>
                            <a:off x="0" y="0"/>
                            <a:ext cx="1163955" cy="2069465"/>
                          </a:xfrm>
                          <a:prstGeom prst="rect">
                            <a:avLst/>
                          </a:prstGeom>
                        </pic:spPr>
                      </pic:pic>
                    </a:graphicData>
                  </a:graphic>
                </wp:inline>
              </w:drawing>
            </w:r>
          </w:p>
        </w:tc>
        <w:tc>
          <w:tcPr>
            <w:tcW w:w="1255" w:type="pct"/>
            <w:vMerge/>
            <w:vAlign w:val="center"/>
          </w:tcPr>
          <w:p w:rsidR="002E0378" w:rsidRDefault="002E0378">
            <w:pPr>
              <w:adjustRightInd w:val="0"/>
              <w:snapToGrid w:val="0"/>
              <w:jc w:val="left"/>
              <w:rPr>
                <w:rFonts w:ascii="Times New Roman" w:hAnsi="Times New Roman"/>
                <w:sz w:val="18"/>
                <w:szCs w:val="18"/>
              </w:rPr>
            </w:pPr>
          </w:p>
        </w:tc>
        <w:tc>
          <w:tcPr>
            <w:tcW w:w="1192" w:type="pct"/>
            <w:vMerge/>
            <w:vAlign w:val="center"/>
          </w:tcPr>
          <w:p w:rsidR="002E0378" w:rsidRDefault="002E0378">
            <w:pPr>
              <w:jc w:val="both"/>
              <w:rPr>
                <w:rFonts w:ascii="Times New Roman" w:hAnsi="Times New Roman"/>
                <w:sz w:val="18"/>
                <w:szCs w:val="18"/>
              </w:rPr>
            </w:pPr>
          </w:p>
        </w:tc>
      </w:tr>
    </w:tbl>
    <w:p w:rsidR="002E0378" w:rsidRDefault="005C380A">
      <w:pPr>
        <w:pStyle w:val="a4"/>
        <w:ind w:firstLine="480"/>
      </w:pPr>
      <w:r>
        <w:rPr>
          <w:rFonts w:hint="eastAsia"/>
        </w:rPr>
        <w:t>综上，吉林省固体废物处理有限责任公司内散装液体物料转运与厂内运输的液体储存设施的土壤污染预防设施与措施基本能满足《重点监管单位土壤污染隐患排查指南（试行）》的推荐性组合要求</w:t>
      </w:r>
      <w:r>
        <w:t>。</w:t>
      </w:r>
    </w:p>
    <w:p w:rsidR="002E0378" w:rsidRDefault="005C380A">
      <w:pPr>
        <w:pStyle w:val="3"/>
        <w:rPr>
          <w:rFonts w:cs="宋体"/>
          <w:szCs w:val="28"/>
        </w:rPr>
      </w:pPr>
      <w:bookmarkStart w:id="59" w:name="_Toc22055"/>
      <w:r>
        <w:t xml:space="preserve">4.1.3 </w:t>
      </w:r>
      <w:r>
        <w:rPr>
          <w:rFonts w:hint="eastAsia"/>
        </w:rPr>
        <w:t>危废</w:t>
      </w:r>
      <w:r>
        <w:t>的储存</w:t>
      </w:r>
      <w:bookmarkEnd w:id="59"/>
    </w:p>
    <w:p w:rsidR="002E0378" w:rsidRDefault="005C380A">
      <w:pPr>
        <w:pStyle w:val="a4"/>
        <w:ind w:firstLine="480"/>
        <w:rPr>
          <w:lang w:val="en-US"/>
        </w:rPr>
      </w:pPr>
      <w:r>
        <w:rPr>
          <w:rFonts w:hint="eastAsia"/>
          <w:lang w:val="en-US"/>
        </w:rPr>
        <w:t>1</w:t>
      </w:r>
      <w:r>
        <w:rPr>
          <w:rFonts w:hint="eastAsia"/>
          <w:lang w:val="en-US"/>
        </w:rPr>
        <w:t>、危险废物贮存库</w:t>
      </w:r>
    </w:p>
    <w:p w:rsidR="002E0378" w:rsidRDefault="005C380A">
      <w:pPr>
        <w:pStyle w:val="a4"/>
        <w:ind w:firstLine="480"/>
      </w:pPr>
      <w:r>
        <w:rPr>
          <w:rFonts w:hint="eastAsia"/>
        </w:rPr>
        <w:t>散装货物储存和暂存造成土壤污染主要有两种情况：（</w:t>
      </w:r>
      <w:r>
        <w:rPr>
          <w:rFonts w:hint="eastAsia"/>
        </w:rPr>
        <w:t>1</w:t>
      </w:r>
      <w:r>
        <w:rPr>
          <w:rFonts w:hint="eastAsia"/>
        </w:rPr>
        <w:t>）散装干货物因雨水或者防尘喷淋水冲刷进入土壤；（</w:t>
      </w:r>
      <w:r>
        <w:rPr>
          <w:rFonts w:hint="eastAsia"/>
        </w:rPr>
        <w:t>2</w:t>
      </w:r>
      <w:r>
        <w:rPr>
          <w:rFonts w:hint="eastAsia"/>
        </w:rPr>
        <w:t>）散装湿货物因雨水冲刷，以及渗出有毒有害液体物质进入土壤。散装货物储存和暂存的土壤污染预防设施与措施推荐组合见下表。</w:t>
      </w:r>
    </w:p>
    <w:p w:rsidR="002E0378" w:rsidRDefault="005C380A">
      <w:pPr>
        <w:pStyle w:val="a4"/>
        <w:ind w:firstLineChars="0" w:firstLine="0"/>
        <w:jc w:val="center"/>
      </w:pPr>
      <w:r>
        <w:rPr>
          <w:rFonts w:hint="eastAsia"/>
          <w:b/>
          <w:bCs/>
        </w:rPr>
        <w:t>表</w:t>
      </w:r>
      <w:r>
        <w:rPr>
          <w:rFonts w:hint="eastAsia"/>
          <w:b/>
          <w:bCs/>
        </w:rPr>
        <w:t>4-</w:t>
      </w:r>
      <w:r>
        <w:rPr>
          <w:rFonts w:hint="eastAsia"/>
          <w:b/>
          <w:bCs/>
          <w:lang w:val="en-US"/>
        </w:rPr>
        <w:t>9</w:t>
      </w:r>
      <w:r>
        <w:rPr>
          <w:rFonts w:hint="eastAsia"/>
          <w:b/>
          <w:bCs/>
        </w:rPr>
        <w:t xml:space="preserve">  </w:t>
      </w:r>
      <w:r>
        <w:rPr>
          <w:rFonts w:hint="eastAsia"/>
          <w:b/>
          <w:bCs/>
        </w:rPr>
        <w:t>散装货物储存和暂存土壤污染预防设施与措施推荐组合</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3339"/>
        <w:gridCol w:w="4505"/>
      </w:tblGrid>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886"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543"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一、干货物（不会渗出液体）的储存</w:t>
            </w:r>
          </w:p>
        </w:tc>
      </w:tr>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）注意避免雨水冲刷，如有苫盖或者顶棚</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）日常维护</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二、干货物（不会渗出液体）的暂存</w:t>
            </w:r>
          </w:p>
        </w:tc>
      </w:tr>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）普通阻隔设施</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）有效应对泄漏事件</w:t>
            </w:r>
          </w:p>
        </w:tc>
      </w:tr>
      <w:tr w:rsidR="002E0378">
        <w:trPr>
          <w:trHeight w:val="397"/>
          <w:tblHeader/>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三、湿货物（可以渗出有毒有害液体物质）的储存和暂存</w:t>
            </w:r>
          </w:p>
        </w:tc>
      </w:tr>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lastRenderedPageBreak/>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）防止屋顶或者覆盖物上流下来的雨水冲刷货物</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）渗漏、流失的液体能得到有效收集并定期清理</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bl>
    <w:p w:rsidR="002E0378" w:rsidRDefault="005C380A">
      <w:pPr>
        <w:pStyle w:val="a4"/>
        <w:ind w:firstLine="480"/>
      </w:pPr>
      <w:r>
        <w:rPr>
          <w:rFonts w:hint="eastAsia"/>
        </w:rPr>
        <w:t>经排查，吉林省固体废物处理有限责任公司内危险废物贮存库房，适用于“三、湿货物（可以渗出有毒有害液体物质）的储存和暂存”组合</w:t>
      </w:r>
      <w:r>
        <w:rPr>
          <w:rFonts w:hint="eastAsia"/>
          <w:lang w:val="en-US"/>
        </w:rPr>
        <w:t>2</w:t>
      </w:r>
      <w:r>
        <w:rPr>
          <w:rFonts w:hint="eastAsia"/>
        </w:rPr>
        <w:t>。</w:t>
      </w:r>
    </w:p>
    <w:p w:rsidR="002E0378" w:rsidRDefault="005C380A">
      <w:pPr>
        <w:pStyle w:val="a4"/>
        <w:ind w:firstLineChars="0" w:firstLine="0"/>
        <w:jc w:val="center"/>
        <w:rPr>
          <w:rFonts w:ascii="宋体" w:hAnsi="宋体"/>
          <w:b/>
          <w:bCs/>
          <w:szCs w:val="24"/>
        </w:rPr>
      </w:pPr>
      <w:r>
        <w:rPr>
          <w:rFonts w:hint="eastAsia"/>
          <w:b/>
          <w:bCs/>
        </w:rPr>
        <w:t>表</w:t>
      </w:r>
      <w:r>
        <w:rPr>
          <w:rFonts w:hint="eastAsia"/>
          <w:b/>
          <w:bCs/>
        </w:rPr>
        <w:t>4-1</w:t>
      </w:r>
      <w:r>
        <w:rPr>
          <w:rFonts w:hint="eastAsia"/>
          <w:b/>
          <w:bCs/>
          <w:lang w:val="en-US"/>
        </w:rPr>
        <w:t>0</w:t>
      </w:r>
      <w:r>
        <w:rPr>
          <w:rFonts w:hint="eastAsia"/>
          <w:b/>
          <w:bCs/>
        </w:rPr>
        <w:t xml:space="preserve">  </w:t>
      </w:r>
      <w:r>
        <w:rPr>
          <w:rFonts w:hint="eastAsia"/>
          <w:b/>
          <w:bCs/>
        </w:rPr>
        <w:t>散装货物的储存和暂存土壤污染隐患排查</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550"/>
        <w:gridCol w:w="824"/>
        <w:gridCol w:w="3156"/>
        <w:gridCol w:w="1974"/>
        <w:gridCol w:w="1859"/>
      </w:tblGrid>
      <w:tr w:rsidR="002E0378">
        <w:trPr>
          <w:trHeight w:val="397"/>
        </w:trPr>
        <w:tc>
          <w:tcPr>
            <w:tcW w:w="275"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位置</w:t>
            </w:r>
          </w:p>
        </w:tc>
        <w:tc>
          <w:tcPr>
            <w:tcW w:w="312"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散装货物名称</w:t>
            </w:r>
          </w:p>
        </w:tc>
        <w:tc>
          <w:tcPr>
            <w:tcW w:w="467"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类型</w:t>
            </w:r>
          </w:p>
        </w:tc>
        <w:tc>
          <w:tcPr>
            <w:tcW w:w="1776"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现场照片</w:t>
            </w:r>
          </w:p>
        </w:tc>
        <w:tc>
          <w:tcPr>
            <w:tcW w:w="1116" w:type="pct"/>
            <w:vAlign w:val="center"/>
          </w:tcPr>
          <w:p w:rsidR="002E0378" w:rsidRDefault="005C380A">
            <w:pPr>
              <w:adjustRightInd w:val="0"/>
              <w:snapToGrid w:val="0"/>
              <w:ind w:leftChars="-50" w:left="-105" w:rightChars="-50" w:right="-105"/>
              <w:rPr>
                <w:rFonts w:ascii="Times New Roman" w:hAnsi="Times New Roman"/>
                <w:sz w:val="18"/>
                <w:szCs w:val="18"/>
              </w:rPr>
            </w:pPr>
            <w:r>
              <w:rPr>
                <w:rFonts w:ascii="Times New Roman" w:hAnsi="Times New Roman"/>
                <w:b/>
                <w:bCs/>
                <w:kern w:val="0"/>
                <w:sz w:val="18"/>
                <w:szCs w:val="18"/>
                <w:lang w:bidi="ar"/>
              </w:rPr>
              <w:t>土壤污染预防设施</w:t>
            </w:r>
            <w:r>
              <w:rPr>
                <w:rFonts w:ascii="Times New Roman" w:hAnsi="Times New Roman"/>
                <w:b/>
                <w:bCs/>
                <w:kern w:val="0"/>
                <w:sz w:val="18"/>
                <w:szCs w:val="18"/>
                <w:lang w:bidi="ar"/>
              </w:rPr>
              <w:t>/</w:t>
            </w:r>
            <w:r>
              <w:rPr>
                <w:rFonts w:ascii="Times New Roman" w:hAnsi="Times New Roman"/>
                <w:b/>
                <w:bCs/>
                <w:kern w:val="0"/>
                <w:sz w:val="18"/>
                <w:szCs w:val="18"/>
                <w:lang w:bidi="ar"/>
              </w:rPr>
              <w:t>措施</w:t>
            </w:r>
          </w:p>
        </w:tc>
        <w:tc>
          <w:tcPr>
            <w:tcW w:w="1051" w:type="pct"/>
            <w:vAlign w:val="center"/>
          </w:tcPr>
          <w:p w:rsidR="002E0378" w:rsidRDefault="005C380A">
            <w:pPr>
              <w:adjustRightInd w:val="0"/>
              <w:snapToGrid w:val="0"/>
              <w:ind w:leftChars="-50" w:left="-105" w:rightChars="-50" w:right="-105"/>
              <w:rPr>
                <w:rFonts w:ascii="Times New Roman" w:hAnsi="Times New Roman"/>
                <w:sz w:val="18"/>
                <w:szCs w:val="18"/>
              </w:rPr>
            </w:pPr>
            <w:r>
              <w:rPr>
                <w:rFonts w:ascii="Times New Roman" w:hAnsi="Times New Roman"/>
                <w:b/>
                <w:bCs/>
                <w:kern w:val="0"/>
                <w:sz w:val="18"/>
                <w:szCs w:val="18"/>
                <w:lang w:bidi="ar"/>
              </w:rPr>
              <w:t>企业实际情况</w:t>
            </w:r>
          </w:p>
        </w:tc>
      </w:tr>
      <w:tr w:rsidR="002E0378">
        <w:trPr>
          <w:trHeight w:val="1726"/>
        </w:trPr>
        <w:tc>
          <w:tcPr>
            <w:tcW w:w="275" w:type="pct"/>
            <w:vAlign w:val="center"/>
          </w:tcPr>
          <w:p w:rsidR="002E0378" w:rsidRDefault="005C380A">
            <w:pPr>
              <w:adjustRightInd w:val="0"/>
              <w:snapToGrid w:val="0"/>
              <w:ind w:leftChars="-50" w:left="-105" w:rightChars="-50" w:right="-105"/>
              <w:rPr>
                <w:rFonts w:ascii="Times New Roman" w:hAnsi="Times New Roman"/>
                <w:kern w:val="0"/>
                <w:sz w:val="18"/>
                <w:szCs w:val="18"/>
                <w:lang w:bidi="ar"/>
              </w:rPr>
            </w:pPr>
            <w:r>
              <w:rPr>
                <w:rFonts w:ascii="Times New Roman" w:hAnsi="Times New Roman" w:hint="eastAsia"/>
                <w:kern w:val="0"/>
                <w:sz w:val="18"/>
                <w:szCs w:val="18"/>
                <w:lang w:bidi="ar"/>
              </w:rPr>
              <w:t>危险废物贮存库</w:t>
            </w:r>
          </w:p>
        </w:tc>
        <w:tc>
          <w:tcPr>
            <w:tcW w:w="312" w:type="pct"/>
            <w:vAlign w:val="center"/>
          </w:tcPr>
          <w:p w:rsidR="002E0378" w:rsidRDefault="005C380A">
            <w:pPr>
              <w:adjustRightInd w:val="0"/>
              <w:snapToGrid w:val="0"/>
              <w:ind w:leftChars="-50" w:left="-105" w:rightChars="-50" w:right="-105"/>
              <w:rPr>
                <w:rFonts w:ascii="Times New Roman" w:hAnsi="Times New Roman"/>
                <w:kern w:val="0"/>
                <w:sz w:val="18"/>
                <w:szCs w:val="18"/>
              </w:rPr>
            </w:pPr>
            <w:r>
              <w:rPr>
                <w:rFonts w:ascii="Times New Roman" w:hAnsi="Times New Roman" w:hint="eastAsia"/>
                <w:kern w:val="0"/>
                <w:sz w:val="18"/>
                <w:szCs w:val="18"/>
              </w:rPr>
              <w:t>危险废物</w:t>
            </w:r>
          </w:p>
        </w:tc>
        <w:tc>
          <w:tcPr>
            <w:tcW w:w="467" w:type="pct"/>
            <w:vAlign w:val="center"/>
          </w:tcPr>
          <w:p w:rsidR="002E0378" w:rsidRDefault="005C380A">
            <w:pPr>
              <w:adjustRightInd w:val="0"/>
              <w:snapToGrid w:val="0"/>
              <w:ind w:leftChars="-50" w:left="-105" w:rightChars="-50" w:right="-105"/>
              <w:rPr>
                <w:rFonts w:ascii="Times New Roman" w:hAnsi="Times New Roman"/>
                <w:kern w:val="0"/>
                <w:sz w:val="18"/>
                <w:szCs w:val="18"/>
              </w:rPr>
            </w:pPr>
            <w:r>
              <w:rPr>
                <w:rFonts w:ascii="Times New Roman" w:hAnsi="Times New Roman" w:hint="eastAsia"/>
                <w:sz w:val="18"/>
                <w:szCs w:val="18"/>
              </w:rPr>
              <w:t xml:space="preserve"> </w:t>
            </w:r>
            <w:r>
              <w:rPr>
                <w:rFonts w:ascii="Times New Roman" w:hAnsi="Times New Roman"/>
                <w:sz w:val="18"/>
                <w:szCs w:val="18"/>
              </w:rPr>
              <w:t>湿货物（可以渗出有毒有害液体物质）的储存和暂存</w:t>
            </w:r>
          </w:p>
        </w:tc>
        <w:tc>
          <w:tcPr>
            <w:tcW w:w="1776" w:type="pct"/>
            <w:vAlign w:val="center"/>
          </w:tcPr>
          <w:p w:rsidR="002E0378" w:rsidRDefault="005C380A">
            <w:pPr>
              <w:adjustRightInd w:val="0"/>
              <w:snapToGrid w:val="0"/>
              <w:rPr>
                <w:rFonts w:ascii="Times New Roman" w:hAnsi="Times New Roman"/>
                <w:b/>
                <w:bCs/>
                <w:kern w:val="0"/>
                <w:sz w:val="18"/>
                <w:szCs w:val="18"/>
                <w:lang w:bidi="ar"/>
              </w:rPr>
            </w:pPr>
            <w:r>
              <w:rPr>
                <w:rFonts w:ascii="Times New Roman" w:hAnsi="Times New Roman" w:hint="eastAsia"/>
                <w:b/>
                <w:bCs/>
                <w:noProof/>
                <w:kern w:val="0"/>
                <w:sz w:val="18"/>
                <w:szCs w:val="18"/>
              </w:rPr>
              <w:drawing>
                <wp:inline distT="0" distB="0" distL="114300" distR="114300">
                  <wp:extent cx="1172210" cy="2083435"/>
                  <wp:effectExtent l="0" t="0" r="8890" b="12065"/>
                  <wp:docPr id="18" name="图片 18" descr="80d8707dcdf562f8a77017441748d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80d8707dcdf562f8a77017441748dc9"/>
                          <pic:cNvPicPr>
                            <a:picLocks noChangeAspect="1"/>
                          </pic:cNvPicPr>
                        </pic:nvPicPr>
                        <pic:blipFill>
                          <a:blip r:embed="rId34"/>
                          <a:stretch>
                            <a:fillRect/>
                          </a:stretch>
                        </pic:blipFill>
                        <pic:spPr>
                          <a:xfrm>
                            <a:off x="0" y="0"/>
                            <a:ext cx="1172210" cy="2083435"/>
                          </a:xfrm>
                          <a:prstGeom prst="rect">
                            <a:avLst/>
                          </a:prstGeom>
                        </pic:spPr>
                      </pic:pic>
                    </a:graphicData>
                  </a:graphic>
                </wp:inline>
              </w:drawing>
            </w:r>
            <w:r>
              <w:rPr>
                <w:rFonts w:ascii="Times New Roman" w:hAnsi="Times New Roman" w:hint="eastAsia"/>
                <w:b/>
                <w:bCs/>
                <w:noProof/>
                <w:kern w:val="0"/>
                <w:sz w:val="18"/>
                <w:szCs w:val="18"/>
              </w:rPr>
              <w:drawing>
                <wp:inline distT="0" distB="0" distL="114300" distR="114300">
                  <wp:extent cx="1859280" cy="1045845"/>
                  <wp:effectExtent l="0" t="0" r="7620" b="1905"/>
                  <wp:docPr id="19" name="图片 19" descr="1477b5d3f4ad612391187d4605745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477b5d3f4ad612391187d4605745c6"/>
                          <pic:cNvPicPr>
                            <a:picLocks noChangeAspect="1"/>
                          </pic:cNvPicPr>
                        </pic:nvPicPr>
                        <pic:blipFill>
                          <a:blip r:embed="rId35"/>
                          <a:stretch>
                            <a:fillRect/>
                          </a:stretch>
                        </pic:blipFill>
                        <pic:spPr>
                          <a:xfrm>
                            <a:off x="0" y="0"/>
                            <a:ext cx="1859280" cy="1045845"/>
                          </a:xfrm>
                          <a:prstGeom prst="rect">
                            <a:avLst/>
                          </a:prstGeom>
                        </pic:spPr>
                      </pic:pic>
                    </a:graphicData>
                  </a:graphic>
                </wp:inline>
              </w:drawing>
            </w:r>
          </w:p>
        </w:tc>
        <w:tc>
          <w:tcPr>
            <w:tcW w:w="111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渗漏、流失的液体能得到有效收集并定期清理</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）有效应对泄漏事件</w:t>
            </w:r>
          </w:p>
        </w:tc>
        <w:tc>
          <w:tcPr>
            <w:tcW w:w="1051"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）储存库地面防渗</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）专人日常巡查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）设置渗滤液收集池</w:t>
            </w:r>
          </w:p>
        </w:tc>
      </w:tr>
    </w:tbl>
    <w:p w:rsidR="002E0378" w:rsidRDefault="002E0378">
      <w:pPr>
        <w:rPr>
          <w:rFonts w:ascii="宋体" w:hAnsi="宋体" w:cs="宋体"/>
        </w:rPr>
        <w:sectPr w:rsidR="002E0378">
          <w:pgSz w:w="12240" w:h="15840"/>
          <w:pgMar w:top="1440" w:right="1800" w:bottom="1440" w:left="1800" w:header="720" w:footer="720" w:gutter="0"/>
          <w:cols w:space="720"/>
          <w:docGrid w:type="lines" w:linePitch="312"/>
        </w:sectPr>
      </w:pPr>
    </w:p>
    <w:p w:rsidR="002E0378" w:rsidRDefault="005C380A">
      <w:pPr>
        <w:pStyle w:val="a4"/>
        <w:ind w:firstLine="480"/>
      </w:pPr>
      <w:r>
        <w:rPr>
          <w:rFonts w:hint="eastAsia"/>
        </w:rPr>
        <w:lastRenderedPageBreak/>
        <w:t>综上，吉林省固体废物处理有限责任公司货物储存和运输区的土壤污染预防设施与措施基本能满足《重点监管单位土壤污染隐患排查指南（试行）》的推荐性组合要求</w:t>
      </w:r>
      <w:r>
        <w:t>。</w:t>
      </w:r>
    </w:p>
    <w:p w:rsidR="002E0378" w:rsidRDefault="005C380A">
      <w:pPr>
        <w:pStyle w:val="3"/>
        <w:rPr>
          <w:rFonts w:cs="宋体"/>
          <w:szCs w:val="28"/>
        </w:rPr>
      </w:pPr>
      <w:bookmarkStart w:id="60" w:name="_Toc21850"/>
      <w:r>
        <w:t xml:space="preserve">4.1.4 </w:t>
      </w:r>
      <w:r>
        <w:t>生产区</w:t>
      </w:r>
      <w:bookmarkEnd w:id="60"/>
    </w:p>
    <w:p w:rsidR="002E0378" w:rsidRDefault="005C380A">
      <w:pPr>
        <w:pStyle w:val="a4"/>
        <w:ind w:firstLine="480"/>
      </w:pPr>
      <w:r>
        <w:rPr>
          <w:rFonts w:hint="eastAsia"/>
        </w:rPr>
        <w:t>生产加工装置一般包括密闭、开放和半开放类型。密闭设备指在正常运行管理期间无需打开，物料主要通过管道填充和排空，例如密闭反应釜、反应塔，土壤污染隐患较低；半开放式设备指在运行管理期间需要打开设备，开展计量、加注、填充等活动，需要配套土壤污染预防设施和规范的操作规程，避免土壤受到污染；开放式设备无法避免物料在设备中的泄漏、渗漏，例如喷洒、清洗设备等。生产区的土壤污染预防设施与措施推荐组合见下表。</w:t>
      </w:r>
    </w:p>
    <w:p w:rsidR="002E0378" w:rsidRDefault="005C380A">
      <w:pPr>
        <w:pStyle w:val="a4"/>
        <w:ind w:firstLineChars="0" w:firstLine="0"/>
        <w:jc w:val="center"/>
      </w:pPr>
      <w:r>
        <w:rPr>
          <w:rFonts w:hint="eastAsia"/>
          <w:b/>
          <w:bCs/>
        </w:rPr>
        <w:t>表</w:t>
      </w:r>
      <w:r>
        <w:rPr>
          <w:rFonts w:hint="eastAsia"/>
          <w:b/>
          <w:bCs/>
        </w:rPr>
        <w:t>4-1</w:t>
      </w:r>
      <w:r>
        <w:rPr>
          <w:rFonts w:hint="eastAsia"/>
          <w:b/>
          <w:bCs/>
          <w:lang w:val="en-US"/>
        </w:rPr>
        <w:t>1</w:t>
      </w:r>
      <w:r>
        <w:rPr>
          <w:rFonts w:hint="eastAsia"/>
          <w:b/>
          <w:bCs/>
        </w:rPr>
        <w:t xml:space="preserve">  </w:t>
      </w:r>
      <w:r>
        <w:rPr>
          <w:rFonts w:hint="eastAsia"/>
          <w:b/>
          <w:bCs/>
        </w:rPr>
        <w:t>生产区土壤污染预防设施与措施推荐组合</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3213"/>
        <w:gridCol w:w="4335"/>
      </w:tblGrid>
      <w:tr w:rsidR="002E0378">
        <w:trPr>
          <w:trHeight w:val="397"/>
          <w:tblHeader/>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组合</w:t>
            </w:r>
          </w:p>
        </w:tc>
        <w:tc>
          <w:tcPr>
            <w:tcW w:w="1886"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土壤污染预防设施</w:t>
            </w:r>
            <w:r>
              <w:rPr>
                <w:rFonts w:ascii="Times New Roman" w:hAnsi="Times New Roman"/>
                <w:sz w:val="18"/>
                <w:szCs w:val="18"/>
              </w:rPr>
              <w:t>/</w:t>
            </w:r>
            <w:r>
              <w:rPr>
                <w:rFonts w:ascii="Times New Roman" w:hAnsi="Times New Roman"/>
                <w:sz w:val="18"/>
                <w:szCs w:val="18"/>
              </w:rPr>
              <w:t>功能</w:t>
            </w:r>
          </w:p>
        </w:tc>
        <w:tc>
          <w:tcPr>
            <w:tcW w:w="2543" w:type="pct"/>
            <w:vAlign w:val="center"/>
          </w:tcPr>
          <w:p w:rsidR="002E0378" w:rsidRDefault="005C380A">
            <w:pPr>
              <w:rPr>
                <w:rFonts w:ascii="Times New Roman" w:hAnsi="Times New Roman"/>
                <w:sz w:val="18"/>
                <w:szCs w:val="18"/>
              </w:rPr>
            </w:pPr>
            <w:r>
              <w:rPr>
                <w:rFonts w:ascii="Times New Roman" w:hAnsi="Times New Roman"/>
                <w:sz w:val="18"/>
                <w:szCs w:val="18"/>
              </w:rPr>
              <w:t>土壤污染预防措施</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一、密闭设备</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）无需额外防护设施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）注意车间内传输泵、易发生故障的零部件、检测样品采集点等位置</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）制定检修计划</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）对系统做全面检查（比如定期检查系统的密闭性，下同）</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）普通阻隔设施</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）注意车间内传输泵、易发生故障的零部件、检测样品采集点等位置</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）制定检修计划</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）对系统做全面检查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3</w:t>
            </w:r>
            <w:r>
              <w:rPr>
                <w:rFonts w:ascii="Times New Roman" w:hAnsi="Times New Roman"/>
                <w:sz w:val="18"/>
                <w:szCs w:val="18"/>
              </w:rPr>
              <w:t>）日常维护</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886"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）渗漏、流失的液体能得到有效收集并定期清理</w:t>
            </w:r>
          </w:p>
        </w:tc>
        <w:tc>
          <w:tcPr>
            <w:tcW w:w="2543"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）日常维护</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二、半开放式设备</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普通阻隔设施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防止雨水进入阻隔设施</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有效应对泄漏事件</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在设施设备容易发生泄漏、渗漏的地方设置防滴漏设施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能及时排空防滴漏设施中雨水</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定期清空防滴漏设施</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渗漏、流失的液体能得到有效收集并定期清理</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lastRenderedPageBreak/>
              <w:t>三、开放式设备（液体物质）</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渗漏、流失的液体能得到有效收集并定期清理</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定期开展防渗效果检查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w:t>
            </w:r>
          </w:p>
        </w:tc>
      </w:tr>
      <w:tr w:rsidR="002E0378">
        <w:trPr>
          <w:trHeight w:val="397"/>
          <w:jc w:val="center"/>
        </w:trPr>
        <w:tc>
          <w:tcPr>
            <w:tcW w:w="5000" w:type="pct"/>
            <w:gridSpan w:val="3"/>
            <w:vAlign w:val="center"/>
          </w:tcPr>
          <w:p w:rsidR="002E0378" w:rsidRDefault="005C380A">
            <w:pPr>
              <w:rPr>
                <w:rFonts w:ascii="Times New Roman" w:hAnsi="Times New Roman"/>
                <w:sz w:val="18"/>
                <w:szCs w:val="18"/>
              </w:rPr>
            </w:pPr>
            <w:r>
              <w:rPr>
                <w:rFonts w:ascii="Times New Roman" w:hAnsi="Times New Roman"/>
                <w:sz w:val="18"/>
                <w:szCs w:val="18"/>
              </w:rPr>
              <w:t>四、开放式设备（粘性物质或者固体物质）</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普通阻隔设施，且能防止雨水进入，或者及时有效排出雨水</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有效应对泄漏事件</w:t>
            </w:r>
          </w:p>
        </w:tc>
      </w:tr>
      <w:tr w:rsidR="002E0378">
        <w:trPr>
          <w:trHeight w:val="397"/>
          <w:jc w:val="center"/>
        </w:trPr>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886"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渗漏、流失的液体能得到有效收集并定期清理</w:t>
            </w:r>
          </w:p>
        </w:tc>
        <w:tc>
          <w:tcPr>
            <w:tcW w:w="2543" w:type="pct"/>
            <w:vAlign w:val="center"/>
          </w:tcPr>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1</w:t>
            </w:r>
            <w:r>
              <w:rPr>
                <w:rFonts w:ascii="Times New Roman" w:hAnsi="Times New Roman" w:hint="eastAsia"/>
                <w:sz w:val="18"/>
                <w:szCs w:val="18"/>
              </w:rPr>
              <w:t>）</w:t>
            </w:r>
            <w:r>
              <w:rPr>
                <w:rFonts w:ascii="Times New Roman" w:hAnsi="Times New Roman"/>
                <w:sz w:val="18"/>
                <w:szCs w:val="18"/>
              </w:rPr>
              <w:t>定期防渗效果检查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2</w:t>
            </w:r>
            <w:r>
              <w:rPr>
                <w:rFonts w:ascii="Times New Roman" w:hAnsi="Times New Roman" w:hint="eastAsia"/>
                <w:sz w:val="18"/>
                <w:szCs w:val="18"/>
              </w:rPr>
              <w:t>）</w:t>
            </w:r>
            <w:r>
              <w:rPr>
                <w:rFonts w:ascii="Times New Roman" w:hAnsi="Times New Roman"/>
                <w:sz w:val="18"/>
                <w:szCs w:val="18"/>
              </w:rPr>
              <w:t>日常目视检查</w:t>
            </w:r>
          </w:p>
          <w:p w:rsidR="002E0378" w:rsidRDefault="005C380A">
            <w:pPr>
              <w:jc w:val="both"/>
              <w:rPr>
                <w:rFonts w:ascii="Times New Roman" w:hAnsi="Times New Roman"/>
                <w:sz w:val="18"/>
                <w:szCs w:val="18"/>
              </w:rPr>
            </w:pPr>
            <w:r>
              <w:rPr>
                <w:rFonts w:ascii="Times New Roman" w:hAnsi="Times New Roman" w:hint="eastAsia"/>
                <w:sz w:val="18"/>
                <w:szCs w:val="18"/>
              </w:rPr>
              <w:t>（</w:t>
            </w:r>
            <w:r>
              <w:rPr>
                <w:rFonts w:ascii="Times New Roman" w:hAnsi="Times New Roman" w:hint="eastAsia"/>
                <w:sz w:val="18"/>
                <w:szCs w:val="18"/>
              </w:rPr>
              <w:t>3</w:t>
            </w:r>
            <w:r>
              <w:rPr>
                <w:rFonts w:ascii="Times New Roman" w:hAnsi="Times New Roman" w:hint="eastAsia"/>
                <w:sz w:val="18"/>
                <w:szCs w:val="18"/>
              </w:rPr>
              <w:t>）</w:t>
            </w:r>
            <w:r>
              <w:rPr>
                <w:rFonts w:ascii="Times New Roman" w:hAnsi="Times New Roman"/>
                <w:sz w:val="18"/>
                <w:szCs w:val="18"/>
              </w:rPr>
              <w:t>日常维护</w:t>
            </w:r>
          </w:p>
        </w:tc>
      </w:tr>
    </w:tbl>
    <w:p w:rsidR="002E0378" w:rsidRDefault="005C380A">
      <w:pPr>
        <w:pStyle w:val="a4"/>
        <w:ind w:firstLine="480"/>
      </w:pPr>
      <w:r>
        <w:rPr>
          <w:rFonts w:hint="eastAsia"/>
        </w:rPr>
        <w:t>经排查，吉林省固体废物处理有限责任公司涉及填埋区适用于“四、开放式设备（粘性物质或者固体物质）”组合</w:t>
      </w:r>
      <w:r>
        <w:rPr>
          <w:rFonts w:hint="eastAsia"/>
          <w:lang w:val="en-US"/>
        </w:rPr>
        <w:t>1</w:t>
      </w:r>
      <w:r>
        <w:t>。</w:t>
      </w:r>
    </w:p>
    <w:p w:rsidR="002E0378" w:rsidRDefault="005C380A">
      <w:pPr>
        <w:pStyle w:val="a4"/>
        <w:ind w:firstLineChars="0" w:firstLine="0"/>
        <w:jc w:val="center"/>
        <w:rPr>
          <w:rFonts w:ascii="宋体" w:hAnsi="宋体"/>
        </w:rPr>
      </w:pPr>
      <w:r>
        <w:rPr>
          <w:rFonts w:hint="eastAsia"/>
          <w:b/>
          <w:bCs/>
        </w:rPr>
        <w:t>表</w:t>
      </w:r>
      <w:r>
        <w:rPr>
          <w:rFonts w:hint="eastAsia"/>
          <w:b/>
          <w:bCs/>
        </w:rPr>
        <w:t>4-1</w:t>
      </w:r>
      <w:r>
        <w:rPr>
          <w:rFonts w:hint="eastAsia"/>
          <w:b/>
          <w:bCs/>
          <w:lang w:val="en-US"/>
        </w:rPr>
        <w:t>2</w:t>
      </w:r>
      <w:r>
        <w:rPr>
          <w:rFonts w:hint="eastAsia"/>
          <w:b/>
          <w:bCs/>
        </w:rPr>
        <w:t xml:space="preserve">  </w:t>
      </w:r>
      <w:r>
        <w:rPr>
          <w:rFonts w:hint="eastAsia"/>
          <w:b/>
          <w:bCs/>
        </w:rPr>
        <w:t>生产区土壤污染隐患排查</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7"/>
        <w:gridCol w:w="550"/>
        <w:gridCol w:w="588"/>
        <w:gridCol w:w="2620"/>
        <w:gridCol w:w="1964"/>
        <w:gridCol w:w="2360"/>
      </w:tblGrid>
      <w:tr w:rsidR="002E0378">
        <w:trPr>
          <w:trHeight w:val="397"/>
          <w:tblHeader/>
          <w:jc w:val="center"/>
        </w:trPr>
        <w:tc>
          <w:tcPr>
            <w:tcW w:w="256"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生产区名称</w:t>
            </w:r>
          </w:p>
        </w:tc>
        <w:tc>
          <w:tcPr>
            <w:tcW w:w="323"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设备名称</w:t>
            </w:r>
          </w:p>
        </w:tc>
        <w:tc>
          <w:tcPr>
            <w:tcW w:w="345" w:type="pct"/>
            <w:vAlign w:val="center"/>
          </w:tcPr>
          <w:p w:rsidR="002E0378" w:rsidRDefault="005C380A">
            <w:pPr>
              <w:adjustRightInd w:val="0"/>
              <w:snapToGrid w:val="0"/>
              <w:ind w:leftChars="-50" w:left="-105" w:rightChars="-50" w:right="-105"/>
              <w:rPr>
                <w:rFonts w:ascii="Times New Roman" w:hAnsi="Times New Roman"/>
                <w:b/>
                <w:bCs/>
                <w:kern w:val="0"/>
                <w:sz w:val="18"/>
                <w:szCs w:val="18"/>
                <w:lang w:bidi="ar"/>
              </w:rPr>
            </w:pPr>
            <w:r>
              <w:rPr>
                <w:rFonts w:ascii="Times New Roman" w:hAnsi="Times New Roman"/>
                <w:b/>
                <w:bCs/>
                <w:kern w:val="0"/>
                <w:sz w:val="18"/>
                <w:szCs w:val="18"/>
                <w:lang w:bidi="ar"/>
              </w:rPr>
              <w:t>类型</w:t>
            </w:r>
          </w:p>
        </w:tc>
        <w:tc>
          <w:tcPr>
            <w:tcW w:w="1537" w:type="pct"/>
            <w:vAlign w:val="center"/>
          </w:tcPr>
          <w:p w:rsidR="002E0378" w:rsidRDefault="005C380A">
            <w:pPr>
              <w:adjustRightInd w:val="0"/>
              <w:snapToGrid w:val="0"/>
              <w:rPr>
                <w:rFonts w:ascii="Times New Roman" w:hAnsi="Times New Roman"/>
                <w:b/>
                <w:bCs/>
                <w:kern w:val="0"/>
                <w:sz w:val="18"/>
                <w:szCs w:val="18"/>
                <w:lang w:bidi="ar"/>
              </w:rPr>
            </w:pPr>
            <w:r>
              <w:rPr>
                <w:rFonts w:ascii="Times New Roman" w:hAnsi="Times New Roman"/>
                <w:b/>
                <w:bCs/>
                <w:kern w:val="0"/>
                <w:sz w:val="18"/>
                <w:szCs w:val="18"/>
                <w:lang w:bidi="ar"/>
              </w:rPr>
              <w:t>现场照片</w:t>
            </w:r>
          </w:p>
        </w:tc>
        <w:tc>
          <w:tcPr>
            <w:tcW w:w="1152"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土壤污染预防设施</w:t>
            </w:r>
            <w:r>
              <w:rPr>
                <w:rFonts w:ascii="Times New Roman" w:hAnsi="Times New Roman"/>
                <w:b/>
                <w:bCs/>
                <w:kern w:val="0"/>
                <w:sz w:val="18"/>
                <w:szCs w:val="18"/>
                <w:lang w:bidi="ar"/>
              </w:rPr>
              <w:t>/</w:t>
            </w:r>
            <w:r>
              <w:rPr>
                <w:rFonts w:ascii="Times New Roman" w:hAnsi="Times New Roman"/>
                <w:b/>
                <w:bCs/>
                <w:kern w:val="0"/>
                <w:sz w:val="18"/>
                <w:szCs w:val="18"/>
                <w:lang w:bidi="ar"/>
              </w:rPr>
              <w:t>措施</w:t>
            </w:r>
          </w:p>
        </w:tc>
        <w:tc>
          <w:tcPr>
            <w:tcW w:w="1384" w:type="pct"/>
            <w:vAlign w:val="center"/>
          </w:tcPr>
          <w:p w:rsidR="002E0378" w:rsidRDefault="005C380A">
            <w:pPr>
              <w:adjustRightInd w:val="0"/>
              <w:snapToGrid w:val="0"/>
              <w:rPr>
                <w:rFonts w:ascii="Times New Roman" w:hAnsi="Times New Roman"/>
                <w:sz w:val="18"/>
                <w:szCs w:val="18"/>
              </w:rPr>
            </w:pPr>
            <w:r>
              <w:rPr>
                <w:rFonts w:ascii="Times New Roman" w:hAnsi="Times New Roman"/>
                <w:b/>
                <w:bCs/>
                <w:kern w:val="0"/>
                <w:sz w:val="18"/>
                <w:szCs w:val="18"/>
                <w:lang w:bidi="ar"/>
              </w:rPr>
              <w:t>企业实际情况</w:t>
            </w:r>
          </w:p>
        </w:tc>
      </w:tr>
      <w:tr w:rsidR="002E0378">
        <w:trPr>
          <w:trHeight w:val="1222"/>
          <w:jc w:val="center"/>
        </w:trPr>
        <w:tc>
          <w:tcPr>
            <w:tcW w:w="256" w:type="pct"/>
            <w:vAlign w:val="center"/>
          </w:tcPr>
          <w:p w:rsidR="002E0378" w:rsidRDefault="005C380A">
            <w:pPr>
              <w:widowControl w:val="0"/>
              <w:rPr>
                <w:rFonts w:ascii="Times New Roman" w:hAnsi="Times New Roman"/>
                <w:b/>
                <w:bCs/>
                <w:kern w:val="0"/>
                <w:sz w:val="18"/>
                <w:szCs w:val="18"/>
                <w:lang w:bidi="ar"/>
              </w:rPr>
            </w:pPr>
            <w:r>
              <w:rPr>
                <w:rFonts w:ascii="Times New Roman" w:hAnsi="Times New Roman" w:hint="eastAsia"/>
                <w:sz w:val="18"/>
                <w:szCs w:val="18"/>
              </w:rPr>
              <w:t>填埋区</w:t>
            </w:r>
          </w:p>
        </w:tc>
        <w:tc>
          <w:tcPr>
            <w:tcW w:w="323" w:type="pct"/>
            <w:vAlign w:val="center"/>
          </w:tcPr>
          <w:p w:rsidR="002E0378" w:rsidRDefault="005C380A">
            <w:pPr>
              <w:adjustRightInd w:val="0"/>
              <w:snapToGrid w:val="0"/>
              <w:ind w:leftChars="-50" w:left="-105" w:rightChars="-50" w:right="-105"/>
              <w:rPr>
                <w:rFonts w:ascii="Times New Roman" w:hAnsi="Times New Roman"/>
                <w:sz w:val="18"/>
                <w:szCs w:val="18"/>
              </w:rPr>
            </w:pPr>
            <w:r>
              <w:rPr>
                <w:rFonts w:ascii="Times New Roman" w:hAnsi="Times New Roman" w:hint="eastAsia"/>
                <w:sz w:val="18"/>
                <w:szCs w:val="18"/>
              </w:rPr>
              <w:t>填埋区</w:t>
            </w:r>
          </w:p>
        </w:tc>
        <w:tc>
          <w:tcPr>
            <w:tcW w:w="345" w:type="pct"/>
            <w:vAlign w:val="center"/>
          </w:tcPr>
          <w:p w:rsidR="002E0378" w:rsidRDefault="005C380A">
            <w:pPr>
              <w:adjustRightInd w:val="0"/>
              <w:snapToGrid w:val="0"/>
              <w:ind w:leftChars="-50" w:left="-105" w:rightChars="-50" w:right="-105"/>
              <w:rPr>
                <w:rFonts w:ascii="Times New Roman" w:hAnsi="Times New Roman"/>
                <w:sz w:val="18"/>
                <w:szCs w:val="18"/>
                <w:lang w:val="zh-CN"/>
              </w:rPr>
            </w:pPr>
            <w:r>
              <w:rPr>
                <w:rFonts w:ascii="Times New Roman" w:hAnsi="Times New Roman"/>
                <w:sz w:val="18"/>
                <w:szCs w:val="18"/>
              </w:rPr>
              <w:t>开放式设备</w:t>
            </w:r>
          </w:p>
        </w:tc>
        <w:tc>
          <w:tcPr>
            <w:tcW w:w="1537" w:type="pct"/>
            <w:vAlign w:val="center"/>
          </w:tcPr>
          <w:p w:rsidR="002E0378" w:rsidRDefault="005C380A">
            <w:pPr>
              <w:widowControl w:val="0"/>
              <w:rPr>
                <w:rFonts w:ascii="Times New Roman" w:hAnsi="Times New Roman"/>
                <w:sz w:val="18"/>
                <w:szCs w:val="18"/>
              </w:rPr>
            </w:pPr>
            <w:r>
              <w:rPr>
                <w:rFonts w:ascii="Times New Roman" w:hAnsi="Times New Roman" w:hint="eastAsia"/>
                <w:noProof/>
                <w:sz w:val="18"/>
                <w:szCs w:val="18"/>
              </w:rPr>
              <w:drawing>
                <wp:inline distT="0" distB="0" distL="114300" distR="114300">
                  <wp:extent cx="2238375" cy="1258570"/>
                  <wp:effectExtent l="0" t="0" r="9525" b="17780"/>
                  <wp:docPr id="20" name="图片 20" descr="28670fae05e33937988e11800257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8670fae05e33937988e11800257e69"/>
                          <pic:cNvPicPr>
                            <a:picLocks noChangeAspect="1"/>
                          </pic:cNvPicPr>
                        </pic:nvPicPr>
                        <pic:blipFill>
                          <a:blip r:embed="rId36"/>
                          <a:stretch>
                            <a:fillRect/>
                          </a:stretch>
                        </pic:blipFill>
                        <pic:spPr>
                          <a:xfrm>
                            <a:off x="0" y="0"/>
                            <a:ext cx="2238375" cy="1258570"/>
                          </a:xfrm>
                          <a:prstGeom prst="rect">
                            <a:avLst/>
                          </a:prstGeom>
                        </pic:spPr>
                      </pic:pic>
                    </a:graphicData>
                  </a:graphic>
                </wp:inline>
              </w:drawing>
            </w:r>
          </w:p>
        </w:tc>
        <w:tc>
          <w:tcPr>
            <w:tcW w:w="1152" w:type="pct"/>
            <w:vAlign w:val="center"/>
          </w:tcPr>
          <w:p w:rsidR="002E0378" w:rsidRDefault="005C380A">
            <w:pPr>
              <w:jc w:val="both"/>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1</w:t>
            </w:r>
            <w:r>
              <w:rPr>
                <w:rFonts w:ascii="Times New Roman" w:hAnsi="Times New Roman"/>
                <w:sz w:val="18"/>
                <w:szCs w:val="18"/>
              </w:rPr>
              <w:t>）防渗阻隔系统，且能防止雨水进入，或者及时有效排出雨水</w:t>
            </w:r>
          </w:p>
          <w:p w:rsidR="002E0378" w:rsidRDefault="005C380A">
            <w:pPr>
              <w:jc w:val="both"/>
              <w:rPr>
                <w:rFonts w:ascii="Times New Roman" w:hAnsi="Times New Roman"/>
                <w:kern w:val="0"/>
                <w:sz w:val="18"/>
                <w:szCs w:val="18"/>
                <w:lang w:bidi="ar"/>
              </w:rPr>
            </w:pPr>
            <w:r>
              <w:rPr>
                <w:rFonts w:ascii="Times New Roman" w:hAnsi="Times New Roman"/>
                <w:sz w:val="18"/>
                <w:szCs w:val="18"/>
              </w:rPr>
              <w:t>（</w:t>
            </w:r>
            <w:r>
              <w:rPr>
                <w:rFonts w:ascii="Times New Roman" w:hAnsi="Times New Roman"/>
                <w:sz w:val="18"/>
                <w:szCs w:val="18"/>
              </w:rPr>
              <w:t>2</w:t>
            </w:r>
            <w:r>
              <w:rPr>
                <w:rFonts w:ascii="Times New Roman" w:hAnsi="Times New Roman"/>
                <w:sz w:val="18"/>
                <w:szCs w:val="18"/>
              </w:rPr>
              <w:t>）渗漏、流失的液体能得到有效收集并定期清理</w:t>
            </w:r>
          </w:p>
        </w:tc>
        <w:tc>
          <w:tcPr>
            <w:tcW w:w="1384" w:type="pct"/>
            <w:vAlign w:val="center"/>
          </w:tcPr>
          <w:p w:rsidR="002E0378" w:rsidRDefault="005C380A">
            <w:pPr>
              <w:pStyle w:val="112"/>
              <w:spacing w:line="240" w:lineRule="auto"/>
              <w:ind w:firstLineChars="0" w:firstLine="0"/>
            </w:pPr>
            <w:r>
              <w:rPr>
                <w:rFonts w:ascii="Times New Roman" w:hAnsi="Times New Roman" w:cs="Times New Roman"/>
                <w:color w:val="auto"/>
                <w:sz w:val="18"/>
                <w:szCs w:val="18"/>
              </w:rPr>
              <w:t>填埋区采用分区作业，同时分区设置锚固沟</w:t>
            </w:r>
            <w:r>
              <w:rPr>
                <w:rFonts w:ascii="Times New Roman" w:hAnsi="Times New Roman" w:cs="Times New Roman"/>
                <w:color w:val="auto"/>
                <w:sz w:val="18"/>
                <w:szCs w:val="18"/>
              </w:rPr>
              <w:t xml:space="preserve"> (</w:t>
            </w:r>
            <w:r>
              <w:rPr>
                <w:rFonts w:ascii="Times New Roman" w:hAnsi="Times New Roman" w:cs="Times New Roman"/>
                <w:color w:val="auto"/>
                <w:sz w:val="18"/>
                <w:szCs w:val="18"/>
              </w:rPr>
              <w:t>兼做导排</w:t>
            </w:r>
            <w:r>
              <w:rPr>
                <w:rFonts w:ascii="Times New Roman" w:hAnsi="Times New Roman" w:cs="Times New Roman"/>
                <w:color w:val="auto"/>
                <w:sz w:val="18"/>
                <w:szCs w:val="18"/>
              </w:rPr>
              <w:t xml:space="preserve">) </w:t>
            </w:r>
            <w:r>
              <w:rPr>
                <w:rFonts w:ascii="Times New Roman" w:hAnsi="Times New Roman" w:cs="Times New Roman"/>
                <w:color w:val="auto"/>
                <w:sz w:val="18"/>
                <w:szCs w:val="18"/>
              </w:rPr>
              <w:t>及分区坝。填埋作业从地势低点开始，则地势较高处的汇流雨水通过锚固沟、分区坝的截流、导排，倒入场外清水系统。填埋场作业面采用临时覆盖防雨措施在雨天用</w:t>
            </w:r>
            <w:r>
              <w:rPr>
                <w:rFonts w:ascii="Times New Roman" w:hAnsi="Times New Roman" w:cs="Times New Roman"/>
                <w:color w:val="auto"/>
                <w:sz w:val="18"/>
                <w:szCs w:val="18"/>
              </w:rPr>
              <w:t>0.5mm</w:t>
            </w:r>
            <w:r>
              <w:rPr>
                <w:rFonts w:ascii="Times New Roman" w:hAnsi="Times New Roman" w:cs="Times New Roman"/>
                <w:color w:val="auto"/>
                <w:sz w:val="18"/>
                <w:szCs w:val="18"/>
              </w:rPr>
              <w:t>厚的</w:t>
            </w:r>
            <w:r>
              <w:rPr>
                <w:rFonts w:ascii="Times New Roman" w:hAnsi="Times New Roman" w:cs="Times New Roman"/>
                <w:color w:val="auto"/>
                <w:sz w:val="18"/>
                <w:szCs w:val="18"/>
              </w:rPr>
              <w:t xml:space="preserve">HFPE </w:t>
            </w:r>
            <w:r>
              <w:rPr>
                <w:rFonts w:ascii="Times New Roman" w:hAnsi="Times New Roman" w:cs="Times New Roman"/>
                <w:color w:val="auto"/>
                <w:sz w:val="18"/>
                <w:szCs w:val="18"/>
              </w:rPr>
              <w:t>防渗膜将整个废物作业面和边坡覆盖，覆盖膜上的雨水沿填埋作业带的坡向汇入蘑菇沟。在库区谷底防渗层上部铺设</w:t>
            </w:r>
            <w:r>
              <w:rPr>
                <w:rFonts w:ascii="Times New Roman" w:hAnsi="Times New Roman" w:cs="Times New Roman"/>
                <w:color w:val="auto"/>
                <w:sz w:val="18"/>
                <w:szCs w:val="18"/>
              </w:rPr>
              <w:t>0.4m</w:t>
            </w:r>
            <w:r>
              <w:rPr>
                <w:rFonts w:ascii="Times New Roman" w:hAnsi="Times New Roman" w:cs="Times New Roman"/>
                <w:color w:val="auto"/>
                <w:sz w:val="18"/>
                <w:szCs w:val="18"/>
              </w:rPr>
              <w:t>厚的卵石导流层，沿谷底地形开挖渗沥液收集管沟，管沟的中间埋设多孔管，周边填充鹅卵石，纵沟</w:t>
            </w:r>
            <w:r>
              <w:rPr>
                <w:rFonts w:ascii="Times New Roman" w:hAnsi="Times New Roman" w:cs="Times New Roman"/>
                <w:color w:val="auto"/>
                <w:sz w:val="18"/>
                <w:szCs w:val="18"/>
              </w:rPr>
              <w:t>HDPE</w:t>
            </w:r>
            <w:r>
              <w:rPr>
                <w:rFonts w:ascii="Times New Roman" w:hAnsi="Times New Roman" w:cs="Times New Roman"/>
                <w:color w:val="auto"/>
                <w:sz w:val="18"/>
                <w:szCs w:val="18"/>
              </w:rPr>
              <w:t>管接入主坝前的排水主管，通过分水闸进入渗滤液调节池。</w:t>
            </w:r>
          </w:p>
        </w:tc>
      </w:tr>
    </w:tbl>
    <w:p w:rsidR="002E0378" w:rsidRDefault="005C380A">
      <w:pPr>
        <w:pStyle w:val="a4"/>
        <w:ind w:firstLine="480"/>
      </w:pPr>
      <w:bookmarkStart w:id="61" w:name="_Toc26079"/>
      <w:r>
        <w:rPr>
          <w:rFonts w:hint="eastAsia"/>
        </w:rPr>
        <w:lastRenderedPageBreak/>
        <w:t>综上，吉林省固体废物处理有限责任公司填埋区的土壤污染预防设施与措施基本能满足《重点监管单位土壤污染隐患排查指南（试行）》的推荐性组合要求</w:t>
      </w:r>
      <w:r>
        <w:t>。</w:t>
      </w:r>
    </w:p>
    <w:p w:rsidR="002E0378" w:rsidRDefault="005C380A">
      <w:pPr>
        <w:pStyle w:val="1"/>
        <w:rPr>
          <w:rFonts w:ascii="宋体" w:hAnsi="宋体" w:cs="宋体"/>
          <w:lang w:val="zh-CN"/>
        </w:rPr>
      </w:pPr>
      <w:bookmarkStart w:id="62" w:name="_Toc32654"/>
      <w:r>
        <w:rPr>
          <w:rFonts w:hint="eastAsia"/>
          <w:lang w:val="zh-CN"/>
        </w:rPr>
        <w:t>5</w:t>
      </w:r>
      <w:r>
        <w:rPr>
          <w:rFonts w:hint="eastAsia"/>
        </w:rPr>
        <w:t xml:space="preserve"> </w:t>
      </w:r>
      <w:r>
        <w:rPr>
          <w:rFonts w:hint="eastAsia"/>
          <w:lang w:val="zh-CN"/>
        </w:rPr>
        <w:t>土壤与地下水调查监测</w:t>
      </w:r>
      <w:bookmarkEnd w:id="61"/>
      <w:bookmarkEnd w:id="62"/>
    </w:p>
    <w:p w:rsidR="002E0378" w:rsidRDefault="005C380A">
      <w:pPr>
        <w:pStyle w:val="2"/>
        <w:rPr>
          <w:rFonts w:ascii="宋体" w:hAnsi="宋体" w:cs="宋体"/>
          <w:lang w:val="zh-CN"/>
        </w:rPr>
      </w:pPr>
      <w:bookmarkStart w:id="63" w:name="_Toc8062"/>
      <w:bookmarkStart w:id="64" w:name="_Toc8561"/>
      <w:r>
        <w:rPr>
          <w:rFonts w:hint="eastAsia"/>
          <w:lang w:val="zh-CN"/>
        </w:rPr>
        <w:t>5.1</w:t>
      </w:r>
      <w:r>
        <w:rPr>
          <w:rFonts w:hint="eastAsia"/>
        </w:rPr>
        <w:t xml:space="preserve"> </w:t>
      </w:r>
      <w:r>
        <w:rPr>
          <w:rFonts w:hint="eastAsia"/>
          <w:lang w:val="zh-CN"/>
        </w:rPr>
        <w:t>监测点设置</w:t>
      </w:r>
      <w:bookmarkEnd w:id="63"/>
      <w:bookmarkEnd w:id="64"/>
    </w:p>
    <w:p w:rsidR="002E0378" w:rsidRDefault="005C380A">
      <w:pPr>
        <w:pStyle w:val="a4"/>
        <w:ind w:firstLine="480"/>
        <w:rPr>
          <w:rFonts w:ascii="宋体" w:hAnsi="宋体"/>
        </w:rPr>
      </w:pPr>
      <w:r>
        <w:rPr>
          <w:rFonts w:hint="eastAsia"/>
        </w:rPr>
        <w:t>企业部分区域可能存在土壤和地下水污染的可能性，为了为下一步工作提供依据，本次隐患排查将开展土壤与地下水采样检测工作。</w:t>
      </w:r>
    </w:p>
    <w:p w:rsidR="002E0378" w:rsidRDefault="005C380A">
      <w:pPr>
        <w:pStyle w:val="3"/>
        <w:rPr>
          <w:rFonts w:cs="宋体"/>
          <w:szCs w:val="28"/>
        </w:rPr>
      </w:pPr>
      <w:bookmarkStart w:id="65" w:name="_Toc24923"/>
      <w:r>
        <w:rPr>
          <w:lang w:val="zh-CN"/>
        </w:rPr>
        <w:t>5.1.1</w:t>
      </w:r>
      <w:r>
        <w:rPr>
          <w:rFonts w:hint="eastAsia"/>
        </w:rPr>
        <w:t xml:space="preserve"> </w:t>
      </w:r>
      <w:r>
        <w:t>土壤</w:t>
      </w:r>
      <w:r>
        <w:rPr>
          <w:lang w:val="zh-CN"/>
        </w:rPr>
        <w:t>布点</w:t>
      </w:r>
      <w:r>
        <w:t>原则</w:t>
      </w:r>
      <w:bookmarkEnd w:id="65"/>
    </w:p>
    <w:p w:rsidR="002E0378" w:rsidRDefault="005C380A">
      <w:pPr>
        <w:pStyle w:val="a4"/>
        <w:ind w:firstLine="480"/>
      </w:pPr>
      <w:r>
        <w:rPr>
          <w:rFonts w:hint="eastAsia"/>
        </w:rPr>
        <w:t>根据《吉林省土壤环境重点监管企业自行监测技术指南（暂行）》，本次土壤监测布点原则如下：</w:t>
      </w:r>
    </w:p>
    <w:p w:rsidR="002E0378" w:rsidRDefault="005C380A">
      <w:pPr>
        <w:pStyle w:val="a4"/>
        <w:ind w:firstLine="480"/>
      </w:pPr>
      <w:r>
        <w:rPr>
          <w:rFonts w:hint="eastAsia"/>
          <w:lang w:val="en-US"/>
        </w:rPr>
        <w:t>1</w:t>
      </w:r>
      <w:r>
        <w:rPr>
          <w:rFonts w:hint="eastAsia"/>
          <w:lang w:val="en-US"/>
        </w:rPr>
        <w:t>、</w:t>
      </w:r>
      <w:r>
        <w:rPr>
          <w:rFonts w:hint="eastAsia"/>
        </w:rPr>
        <w:t>企业至少设立一个土壤背景监测点，点位应设立在企业外部区域或远离企业各重点区域和设施处布设。背景监测点设立在污染物迁移的上游。对有气体污染物排放的重点企业，背景监测点布设应考虑在重点区域和设施的主导风向的上风向。</w:t>
      </w:r>
    </w:p>
    <w:p w:rsidR="002E0378" w:rsidRDefault="005C380A">
      <w:pPr>
        <w:pStyle w:val="a4"/>
        <w:ind w:firstLine="480"/>
      </w:pPr>
      <w:r>
        <w:rPr>
          <w:rFonts w:hint="eastAsia"/>
          <w:lang w:val="en-US"/>
        </w:rPr>
        <w:t>2</w:t>
      </w:r>
      <w:r>
        <w:rPr>
          <w:rFonts w:hint="eastAsia"/>
          <w:lang w:val="en-US"/>
        </w:rPr>
        <w:t>、</w:t>
      </w:r>
      <w:r>
        <w:rPr>
          <w:rFonts w:hint="eastAsia"/>
        </w:rPr>
        <w:t>对于企业生产区，采样点应在不影响企业正常生产且不造成安全隐患与二次污染的情况下尽可能接近污染源。如上述位置不具备采样条件，应在污染物迁移的下游方向就近选择布点位置。</w:t>
      </w:r>
    </w:p>
    <w:p w:rsidR="002E0378" w:rsidRDefault="005C380A">
      <w:pPr>
        <w:pStyle w:val="a4"/>
        <w:ind w:firstLine="480"/>
      </w:pPr>
      <w:r>
        <w:rPr>
          <w:rFonts w:hint="eastAsia"/>
          <w:lang w:val="en-US"/>
        </w:rPr>
        <w:t>3</w:t>
      </w:r>
      <w:r>
        <w:rPr>
          <w:rFonts w:hint="eastAsia"/>
          <w:lang w:val="en-US"/>
        </w:rPr>
        <w:t>、</w:t>
      </w:r>
      <w:r>
        <w:rPr>
          <w:rFonts w:hint="eastAsia"/>
        </w:rPr>
        <w:t>每个重点区域或设施周边应不少于</w:t>
      </w:r>
      <w:r>
        <w:rPr>
          <w:rFonts w:hint="eastAsia"/>
        </w:rPr>
        <w:t>2</w:t>
      </w:r>
      <w:r>
        <w:rPr>
          <w:rFonts w:hint="eastAsia"/>
        </w:rPr>
        <w:t>个土壤采样点且需根据待监测区域大小等实际情况进行适当增加采样点数量。</w:t>
      </w:r>
    </w:p>
    <w:p w:rsidR="002E0378" w:rsidRDefault="005C380A">
      <w:pPr>
        <w:pStyle w:val="3"/>
        <w:rPr>
          <w:rFonts w:cs="宋体"/>
          <w:szCs w:val="28"/>
        </w:rPr>
      </w:pPr>
      <w:bookmarkStart w:id="66" w:name="_Toc26948"/>
      <w:r>
        <w:t>5.1.2</w:t>
      </w:r>
      <w:r>
        <w:rPr>
          <w:rFonts w:hint="eastAsia"/>
        </w:rPr>
        <w:t xml:space="preserve"> </w:t>
      </w:r>
      <w:r>
        <w:t>地下水布点原则</w:t>
      </w:r>
      <w:bookmarkEnd w:id="66"/>
    </w:p>
    <w:p w:rsidR="002E0378" w:rsidRDefault="005C380A">
      <w:pPr>
        <w:pStyle w:val="a4"/>
        <w:ind w:firstLine="480"/>
      </w:pPr>
      <w:r>
        <w:rPr>
          <w:rFonts w:hint="eastAsia"/>
        </w:rPr>
        <w:t>根据《吉林省土壤环境重点监管企业自行监测技术指南（暂行）》，本次地下水监测布点原则如下：</w:t>
      </w:r>
    </w:p>
    <w:p w:rsidR="002E0378" w:rsidRDefault="005C380A">
      <w:pPr>
        <w:pStyle w:val="a4"/>
        <w:ind w:firstLine="480"/>
      </w:pPr>
      <w:r>
        <w:rPr>
          <w:rFonts w:hint="eastAsia"/>
          <w:lang w:val="en-US"/>
        </w:rPr>
        <w:t>1</w:t>
      </w:r>
      <w:r>
        <w:rPr>
          <w:rFonts w:hint="eastAsia"/>
          <w:lang w:val="en-US"/>
        </w:rPr>
        <w:t>、</w:t>
      </w:r>
      <w:r>
        <w:rPr>
          <w:rFonts w:hint="eastAsia"/>
        </w:rPr>
        <w:t>至少设立一个地下水背景监测井，根据区域水文地质单元状况和地下水主要补给来源，在污染区域外围地下水流上方垂直水流方向设立。</w:t>
      </w:r>
      <w:bookmarkStart w:id="67" w:name="_Toc524681265"/>
      <w:bookmarkStart w:id="68" w:name="_Toc524863198"/>
    </w:p>
    <w:bookmarkEnd w:id="67"/>
    <w:bookmarkEnd w:id="68"/>
    <w:p w:rsidR="002E0378" w:rsidRDefault="005C380A">
      <w:pPr>
        <w:pStyle w:val="a4"/>
        <w:ind w:firstLine="480"/>
      </w:pPr>
      <w:r>
        <w:rPr>
          <w:rFonts w:hint="eastAsia"/>
          <w:lang w:val="en-US"/>
        </w:rPr>
        <w:t>2</w:t>
      </w:r>
      <w:r>
        <w:rPr>
          <w:rFonts w:hint="eastAsia"/>
          <w:lang w:val="en-US"/>
        </w:rPr>
        <w:t>、</w:t>
      </w:r>
      <w:r>
        <w:rPr>
          <w:rFonts w:hint="eastAsia"/>
        </w:rPr>
        <w:t>地下水监测井应布设疑似污染源所在位置和污染物迁移的下游方向。</w:t>
      </w:r>
    </w:p>
    <w:p w:rsidR="002E0378" w:rsidRDefault="005C380A">
      <w:pPr>
        <w:pStyle w:val="a4"/>
        <w:ind w:firstLine="480"/>
      </w:pPr>
      <w:r>
        <w:rPr>
          <w:rFonts w:hint="eastAsia"/>
          <w:lang w:val="en-US"/>
        </w:rPr>
        <w:lastRenderedPageBreak/>
        <w:t>3</w:t>
      </w:r>
      <w:r>
        <w:rPr>
          <w:rFonts w:hint="eastAsia"/>
          <w:lang w:val="en-US"/>
        </w:rPr>
        <w:t>、</w:t>
      </w:r>
      <w:r>
        <w:rPr>
          <w:rFonts w:hint="eastAsia"/>
        </w:rPr>
        <w:t>每个重点区域或设施周边应布设至少</w:t>
      </w:r>
      <w:r>
        <w:rPr>
          <w:rFonts w:hint="eastAsia"/>
        </w:rPr>
        <w:t>1</w:t>
      </w:r>
      <w:r>
        <w:rPr>
          <w:rFonts w:hint="eastAsia"/>
        </w:rPr>
        <w:t>个地下水监测点，具体数量应根据待监测区域大小及污染物扩散途径等实际情况进行适当调整。同一区域内若设置</w:t>
      </w:r>
      <w:r>
        <w:rPr>
          <w:rFonts w:hint="eastAsia"/>
        </w:rPr>
        <w:t>3</w:t>
      </w:r>
      <w:r>
        <w:rPr>
          <w:rFonts w:hint="eastAsia"/>
        </w:rPr>
        <w:t>个以上的地下水采样点，应避免在一条直线上。</w:t>
      </w:r>
    </w:p>
    <w:p w:rsidR="002E0378" w:rsidRDefault="005C380A">
      <w:pPr>
        <w:pStyle w:val="a4"/>
        <w:ind w:firstLine="480"/>
      </w:pPr>
      <w:r>
        <w:rPr>
          <w:rFonts w:hint="eastAsia"/>
          <w:lang w:val="en-US"/>
        </w:rPr>
        <w:t>4</w:t>
      </w:r>
      <w:r>
        <w:rPr>
          <w:rFonts w:hint="eastAsia"/>
          <w:lang w:val="en-US"/>
        </w:rPr>
        <w:t>、</w:t>
      </w:r>
      <w:r>
        <w:rPr>
          <w:rFonts w:hint="eastAsia"/>
        </w:rPr>
        <w:t>同一企业内部几个重点区域和设施集中或连片分布，可将其作为整体设置地下水采样点，原则上至少设置</w:t>
      </w:r>
      <w:r>
        <w:rPr>
          <w:rFonts w:hint="eastAsia"/>
        </w:rPr>
        <w:t>5</w:t>
      </w:r>
      <w:r>
        <w:rPr>
          <w:rFonts w:hint="eastAsia"/>
        </w:rPr>
        <w:t>个地下水采样点，可根据区域的大小生产布局和水文地质条件等实际情况进行调整</w:t>
      </w:r>
    </w:p>
    <w:p w:rsidR="002E0378" w:rsidRDefault="005C380A">
      <w:pPr>
        <w:pStyle w:val="a4"/>
        <w:ind w:firstLine="480"/>
        <w:rPr>
          <w:rFonts w:ascii="宋体" w:hAnsi="宋体"/>
        </w:rPr>
      </w:pPr>
      <w:r>
        <w:rPr>
          <w:rFonts w:hint="eastAsia"/>
          <w:lang w:val="en-US"/>
        </w:rPr>
        <w:t>5</w:t>
      </w:r>
      <w:r>
        <w:rPr>
          <w:rFonts w:hint="eastAsia"/>
          <w:lang w:val="en-US"/>
        </w:rPr>
        <w:t>、</w:t>
      </w:r>
      <w:r>
        <w:rPr>
          <w:rFonts w:hint="eastAsia"/>
        </w:rPr>
        <w:t>采样深度应依据区域水文地质条件及区域污染源特征进行确定。一般以潜水层监测为主，对可能含有低密度或高密度非水溶性有机污染的地下水，应对应的采集上部或下部的水样，其他水样采样深度为在地下水位</w:t>
      </w:r>
      <w:r>
        <w:rPr>
          <w:rFonts w:hint="eastAsia"/>
        </w:rPr>
        <w:t>0.5</w:t>
      </w:r>
      <w:r>
        <w:rPr>
          <w:rFonts w:hint="eastAsia"/>
        </w:rPr>
        <w:t>米以下。</w:t>
      </w:r>
    </w:p>
    <w:p w:rsidR="002E0378" w:rsidRDefault="005C380A">
      <w:pPr>
        <w:pStyle w:val="3"/>
        <w:rPr>
          <w:rFonts w:cs="宋体"/>
          <w:szCs w:val="28"/>
        </w:rPr>
      </w:pPr>
      <w:bookmarkStart w:id="69" w:name="_Toc23545"/>
      <w:r>
        <w:t>5.1.3</w:t>
      </w:r>
      <w:r>
        <w:rPr>
          <w:rFonts w:hint="eastAsia"/>
        </w:rPr>
        <w:t xml:space="preserve"> </w:t>
      </w:r>
      <w:r>
        <w:t>主导风向及地下水流向</w:t>
      </w:r>
      <w:bookmarkEnd w:id="69"/>
    </w:p>
    <w:p w:rsidR="002E0378" w:rsidRDefault="005C380A">
      <w:pPr>
        <w:pStyle w:val="a4"/>
        <w:ind w:firstLine="480"/>
      </w:pPr>
      <w:r>
        <w:rPr>
          <w:rFonts w:hint="eastAsia"/>
        </w:rPr>
        <w:t>1</w:t>
      </w:r>
      <w:r>
        <w:rPr>
          <w:rFonts w:hint="eastAsia"/>
        </w:rPr>
        <w:t>、气候气象</w:t>
      </w:r>
    </w:p>
    <w:p w:rsidR="002E0378" w:rsidRDefault="005C380A">
      <w:pPr>
        <w:pStyle w:val="a4"/>
        <w:ind w:firstLine="480"/>
      </w:pPr>
      <w:r>
        <w:rPr>
          <w:rFonts w:hint="eastAsia"/>
        </w:rPr>
        <w:t>吉林市属温带大陆性季风气候，四季分明。夏季温热多雨，冬季寒冷干燥。受地形影响气温由南向北逐渐降低。年平均气温</w:t>
      </w:r>
      <w:r>
        <w:rPr>
          <w:rFonts w:hint="eastAsia"/>
        </w:rPr>
        <w:t>3.9</w:t>
      </w:r>
      <w:r>
        <w:rPr>
          <w:rFonts w:hint="eastAsia"/>
        </w:rPr>
        <w:t>℃，一月平均气温最低，一般在零下</w:t>
      </w:r>
      <w:r>
        <w:rPr>
          <w:rFonts w:hint="eastAsia"/>
        </w:rPr>
        <w:t>18</w:t>
      </w:r>
      <w:r>
        <w:rPr>
          <w:rFonts w:hint="eastAsia"/>
        </w:rPr>
        <w:t>℃～</w:t>
      </w:r>
      <w:r>
        <w:rPr>
          <w:rFonts w:hint="eastAsia"/>
        </w:rPr>
        <w:t>20</w:t>
      </w:r>
      <w:r>
        <w:rPr>
          <w:rFonts w:hint="eastAsia"/>
        </w:rPr>
        <w:t>℃；七月平均气温最高，一般在</w:t>
      </w:r>
      <w:r>
        <w:rPr>
          <w:rFonts w:hint="eastAsia"/>
        </w:rPr>
        <w:t>21</w:t>
      </w:r>
      <w:r>
        <w:rPr>
          <w:rFonts w:hint="eastAsia"/>
        </w:rPr>
        <w:t>℃～</w:t>
      </w:r>
      <w:r>
        <w:rPr>
          <w:rFonts w:hint="eastAsia"/>
        </w:rPr>
        <w:t>23</w:t>
      </w:r>
      <w:r>
        <w:rPr>
          <w:rFonts w:hint="eastAsia"/>
        </w:rPr>
        <w:t>℃。全年平均降水量</w:t>
      </w:r>
      <w:r>
        <w:rPr>
          <w:rFonts w:hint="eastAsia"/>
        </w:rPr>
        <w:t>650</w:t>
      </w:r>
      <w:r>
        <w:rPr>
          <w:rFonts w:hint="eastAsia"/>
        </w:rPr>
        <w:t>～</w:t>
      </w:r>
      <w:r>
        <w:rPr>
          <w:rFonts w:hint="eastAsia"/>
        </w:rPr>
        <w:t>750</w:t>
      </w:r>
      <w:r>
        <w:rPr>
          <w:rFonts w:hint="eastAsia"/>
        </w:rPr>
        <w:t>毫米，全年日照时数一般在</w:t>
      </w:r>
      <w:r>
        <w:rPr>
          <w:rFonts w:hint="eastAsia"/>
        </w:rPr>
        <w:t>2300</w:t>
      </w:r>
      <w:r>
        <w:rPr>
          <w:rFonts w:hint="eastAsia"/>
        </w:rPr>
        <w:t>～</w:t>
      </w:r>
      <w:r>
        <w:rPr>
          <w:rFonts w:hint="eastAsia"/>
        </w:rPr>
        <w:t>2500</w:t>
      </w:r>
      <w:r>
        <w:rPr>
          <w:rFonts w:hint="eastAsia"/>
        </w:rPr>
        <w:t>小时。</w:t>
      </w:r>
    </w:p>
    <w:p w:rsidR="002E0378" w:rsidRDefault="005C380A">
      <w:pPr>
        <w:pStyle w:val="a4"/>
        <w:ind w:firstLine="480"/>
        <w:rPr>
          <w:lang w:val="en-US"/>
        </w:rPr>
      </w:pPr>
      <w:r>
        <w:rPr>
          <w:rFonts w:hint="eastAsia"/>
          <w:lang w:val="en-US"/>
        </w:rPr>
        <w:t>2</w:t>
      </w:r>
      <w:r>
        <w:rPr>
          <w:rFonts w:hint="eastAsia"/>
          <w:lang w:val="en-US"/>
        </w:rPr>
        <w:t>、地形、地貌特征</w:t>
      </w:r>
    </w:p>
    <w:p w:rsidR="002E0378" w:rsidRDefault="005C380A">
      <w:pPr>
        <w:pStyle w:val="a4"/>
        <w:ind w:firstLine="480"/>
      </w:pPr>
      <w:r>
        <w:rPr>
          <w:rFonts w:hint="eastAsia"/>
        </w:rPr>
        <w:t>吉林市位于长白山区向</w:t>
      </w:r>
      <w:hyperlink r:id="rId37" w:tgtFrame="https://baike.baidu.com/item/%E5%90%89%E6%9E%97/_blank" w:history="1">
        <w:r>
          <w:rPr>
            <w:rFonts w:hint="eastAsia"/>
          </w:rPr>
          <w:t>松嫩平原</w:t>
        </w:r>
      </w:hyperlink>
      <w:r>
        <w:rPr>
          <w:rFonts w:hint="eastAsia"/>
        </w:rPr>
        <w:t>过渡地带，自然环境优越，地貌类型复杂，有“远迎长白，近绕松花”之势。由于不同时期的大地构造运动，以及江河的侵蚀、剥蚀和堆积形成的流水地貌，地势由东南向西北逐渐降低，形成中山山区—低山丘陵区—峡谷湖泊区—河谷平原区四大地貌景观。中心城市四面环山，三面环水，松花江呈倒“</w:t>
      </w:r>
      <w:r>
        <w:rPr>
          <w:rFonts w:hint="eastAsia"/>
        </w:rPr>
        <w:t>S</w:t>
      </w:r>
      <w:r>
        <w:rPr>
          <w:rFonts w:hint="eastAsia"/>
        </w:rPr>
        <w:t>”形穿城而过，整个城市由江而来，沿江而走，依江而展，为江而美，具有山水园林城市特有的魅力。平均海拔</w:t>
      </w:r>
      <w:r>
        <w:rPr>
          <w:rFonts w:hint="eastAsia"/>
        </w:rPr>
        <w:t>196</w:t>
      </w:r>
      <w:r>
        <w:rPr>
          <w:rFonts w:hint="eastAsia"/>
        </w:rPr>
        <w:t>米，海拔高度依次递减的地理景观。</w:t>
      </w:r>
      <w:bookmarkStart w:id="70" w:name="ref_[6]_5285410"/>
    </w:p>
    <w:p w:rsidR="002E0378" w:rsidRDefault="005C380A">
      <w:pPr>
        <w:pStyle w:val="a4"/>
        <w:ind w:firstLine="480"/>
      </w:pPr>
      <w:r>
        <w:rPr>
          <w:rFonts w:hint="eastAsia"/>
        </w:rPr>
        <w:lastRenderedPageBreak/>
        <w:t>中山山区，在位于吉林地区中、东部和东南部。南有</w:t>
      </w:r>
      <w:hyperlink r:id="rId38" w:tgtFrame="https://baike.baidu.com/item/%E5%90%89%E6%9E%97/_blank" w:history="1">
        <w:r>
          <w:rPr>
            <w:rFonts w:hint="eastAsia"/>
          </w:rPr>
          <w:t>长白山</w:t>
        </w:r>
      </w:hyperlink>
      <w:r>
        <w:rPr>
          <w:rFonts w:hint="eastAsia"/>
        </w:rPr>
        <w:t>地龙岗山脉，东南有龙岗山脉的余脉富尔岭。东北部有呼兰岭。松花湖有老爷岭，湖西有摩天岭、南楼山、肇大鸡山，皆为中山山群。中山山区中有</w:t>
      </w:r>
      <w:r>
        <w:rPr>
          <w:rFonts w:hint="eastAsia"/>
        </w:rPr>
        <w:t>1 000</w:t>
      </w:r>
      <w:r>
        <w:rPr>
          <w:rFonts w:hint="eastAsia"/>
        </w:rPr>
        <w:t>米以上高峰</w:t>
      </w:r>
      <w:r>
        <w:rPr>
          <w:rFonts w:hint="eastAsia"/>
        </w:rPr>
        <w:t>110</w:t>
      </w:r>
      <w:r>
        <w:rPr>
          <w:rFonts w:hint="eastAsia"/>
        </w:rPr>
        <w:t>座。中山山区是全市主要林区和特产区域。</w:t>
      </w:r>
      <w:bookmarkEnd w:id="70"/>
    </w:p>
    <w:p w:rsidR="002E0378" w:rsidRDefault="005C380A">
      <w:pPr>
        <w:pStyle w:val="a4"/>
        <w:ind w:firstLine="480"/>
      </w:pPr>
      <w:r>
        <w:rPr>
          <w:rFonts w:hint="eastAsia"/>
        </w:rPr>
        <w:t>低山丘陵区、分布在蛟河、桦甸盆地和舒兰、永吉县的中部。山岭海拔</w:t>
      </w:r>
      <w:r>
        <w:rPr>
          <w:rFonts w:hint="eastAsia"/>
        </w:rPr>
        <w:t>300</w:t>
      </w:r>
      <w:r>
        <w:rPr>
          <w:rFonts w:hint="eastAsia"/>
        </w:rPr>
        <w:t>～</w:t>
      </w:r>
      <w:r>
        <w:rPr>
          <w:rFonts w:hint="eastAsia"/>
        </w:rPr>
        <w:t>400</w:t>
      </w:r>
      <w:r>
        <w:rPr>
          <w:rFonts w:hint="eastAsia"/>
        </w:rPr>
        <w:t>米，少数山峰高达</w:t>
      </w:r>
      <w:r>
        <w:rPr>
          <w:rFonts w:hint="eastAsia"/>
        </w:rPr>
        <w:t>600</w:t>
      </w:r>
      <w:r>
        <w:rPr>
          <w:rFonts w:hint="eastAsia"/>
        </w:rPr>
        <w:t>～</w:t>
      </w:r>
      <w:r>
        <w:rPr>
          <w:rFonts w:hint="eastAsia"/>
        </w:rPr>
        <w:t>700</w:t>
      </w:r>
      <w:r>
        <w:rPr>
          <w:rFonts w:hint="eastAsia"/>
        </w:rPr>
        <w:t>米。峡谷湖泊区，从</w:t>
      </w:r>
      <w:hyperlink r:id="rId39" w:tgtFrame="https://baike.baidu.com/item/%E5%90%89%E6%9E%97/_blank" w:history="1">
        <w:r>
          <w:rPr>
            <w:rFonts w:hint="eastAsia"/>
          </w:rPr>
          <w:t>丰满大坝</w:t>
        </w:r>
      </w:hyperlink>
      <w:r>
        <w:rPr>
          <w:rFonts w:hint="eastAsia"/>
        </w:rPr>
        <w:t>到白山水库上游金银别，沿湖、沿江区域，是丰满、红石、白山三大梯级电站兴建后形成的人为地貌区域。河谷平原区，分布在松花江中游、</w:t>
      </w:r>
      <w:hyperlink r:id="rId40" w:tgtFrame="https://baike.baidu.com/item/%E5%90%89%E6%9E%97/_blank" w:history="1">
        <w:r>
          <w:rPr>
            <w:rFonts w:hint="eastAsia"/>
          </w:rPr>
          <w:t>永吉县</w:t>
        </w:r>
      </w:hyperlink>
      <w:r>
        <w:rPr>
          <w:rFonts w:hint="eastAsia"/>
        </w:rPr>
        <w:t>北部、舒兰市中部及松花江支流的局部地段，是全市重要的农业经济区。</w:t>
      </w:r>
    </w:p>
    <w:p w:rsidR="002E0378" w:rsidRDefault="005C380A">
      <w:pPr>
        <w:pStyle w:val="a4"/>
        <w:ind w:firstLine="480"/>
      </w:pPr>
      <w:r>
        <w:rPr>
          <w:rFonts w:hint="eastAsia"/>
          <w:lang w:val="en-US"/>
        </w:rPr>
        <w:t>3</w:t>
      </w:r>
      <w:r>
        <w:rPr>
          <w:rFonts w:hint="eastAsia"/>
        </w:rPr>
        <w:t>、水文地质</w:t>
      </w:r>
    </w:p>
    <w:p w:rsidR="002E0378" w:rsidRDefault="005C380A">
      <w:pPr>
        <w:pStyle w:val="a4"/>
        <w:ind w:firstLine="480"/>
        <w:sectPr w:rsidR="002E0378">
          <w:pgSz w:w="11906" w:h="16838"/>
          <w:pgMar w:top="1440" w:right="1800" w:bottom="1440" w:left="1800" w:header="851" w:footer="992" w:gutter="0"/>
          <w:cols w:space="720"/>
          <w:docGrid w:type="lines" w:linePitch="312"/>
        </w:sectPr>
      </w:pPr>
      <w:r>
        <w:rPr>
          <w:rFonts w:hint="eastAsia"/>
        </w:rPr>
        <w:t>吉林市境内水系发达，由</w:t>
      </w:r>
      <w:hyperlink r:id="rId41" w:tgtFrame="https://baike.baidu.com/item/%E5%90%89%E6%9E%97/_blank" w:history="1">
        <w:r>
          <w:rPr>
            <w:rFonts w:hint="eastAsia"/>
          </w:rPr>
          <w:t>松花江</w:t>
        </w:r>
      </w:hyperlink>
      <w:r>
        <w:rPr>
          <w:rFonts w:hint="eastAsia"/>
        </w:rPr>
        <w:t>、</w:t>
      </w:r>
      <w:hyperlink r:id="rId42" w:tgtFrame="https://baike.baidu.com/item/%E5%90%89%E6%9E%97/_blank" w:history="1">
        <w:r>
          <w:rPr>
            <w:rFonts w:hint="eastAsia"/>
          </w:rPr>
          <w:t>拉林河</w:t>
        </w:r>
      </w:hyperlink>
      <w:r>
        <w:rPr>
          <w:rFonts w:hint="eastAsia"/>
        </w:rPr>
        <w:t>、</w:t>
      </w:r>
      <w:hyperlink r:id="rId43" w:tgtFrame="https://baike.baidu.com/item/%E5%90%89%E6%9E%97/_blank" w:history="1">
        <w:r>
          <w:rPr>
            <w:rFonts w:hint="eastAsia"/>
          </w:rPr>
          <w:t>牡丹江</w:t>
        </w:r>
      </w:hyperlink>
      <w:r>
        <w:rPr>
          <w:rFonts w:hint="eastAsia"/>
        </w:rPr>
        <w:t>3</w:t>
      </w:r>
      <w:r>
        <w:rPr>
          <w:rFonts w:hint="eastAsia"/>
        </w:rPr>
        <w:t>个水系的部分河段和支流组成。</w:t>
      </w:r>
      <w:r>
        <w:rPr>
          <w:rFonts w:hint="eastAsia"/>
        </w:rPr>
        <w:t>10</w:t>
      </w:r>
      <w:r>
        <w:rPr>
          <w:rFonts w:hint="eastAsia"/>
        </w:rPr>
        <w:t>公里长以上河流</w:t>
      </w:r>
      <w:r>
        <w:rPr>
          <w:rFonts w:hint="eastAsia"/>
        </w:rPr>
        <w:t>277</w:t>
      </w:r>
      <w:r>
        <w:rPr>
          <w:rFonts w:hint="eastAsia"/>
        </w:rPr>
        <w:t>条，</w:t>
      </w:r>
      <w:r>
        <w:rPr>
          <w:rFonts w:hint="eastAsia"/>
        </w:rPr>
        <w:t>20</w:t>
      </w:r>
      <w:r>
        <w:rPr>
          <w:rFonts w:hint="eastAsia"/>
        </w:rPr>
        <w:t>公里以上的</w:t>
      </w:r>
      <w:r>
        <w:rPr>
          <w:rFonts w:hint="eastAsia"/>
        </w:rPr>
        <w:t>73</w:t>
      </w:r>
      <w:r>
        <w:rPr>
          <w:rFonts w:hint="eastAsia"/>
        </w:rPr>
        <w:t>条。松花江水系在吉林市境内流域面积为</w:t>
      </w:r>
      <w:r>
        <w:rPr>
          <w:rFonts w:hint="eastAsia"/>
        </w:rPr>
        <w:t>22 336</w:t>
      </w:r>
      <w:r>
        <w:rPr>
          <w:rFonts w:hint="eastAsia"/>
        </w:rPr>
        <w:t>平方公里，占全市总面积的</w:t>
      </w:r>
      <w:r>
        <w:rPr>
          <w:rFonts w:hint="eastAsia"/>
        </w:rPr>
        <w:t>84%</w:t>
      </w:r>
      <w:r>
        <w:rPr>
          <w:rFonts w:hint="eastAsia"/>
        </w:rPr>
        <w:t>，拉林河占</w:t>
      </w:r>
      <w:r>
        <w:rPr>
          <w:rFonts w:hint="eastAsia"/>
        </w:rPr>
        <w:t>15%</w:t>
      </w:r>
      <w:r>
        <w:rPr>
          <w:rFonts w:hint="eastAsia"/>
        </w:rPr>
        <w:t>，牡丹江支流威虎河仅占</w:t>
      </w:r>
      <w:r>
        <w:rPr>
          <w:rFonts w:hint="eastAsia"/>
        </w:rPr>
        <w:t>1%</w:t>
      </w:r>
      <w:r>
        <w:rPr>
          <w:rFonts w:hint="eastAsia"/>
        </w:rPr>
        <w:t>。还有小流域沟溪</w:t>
      </w:r>
      <w:r>
        <w:rPr>
          <w:rFonts w:hint="eastAsia"/>
        </w:rPr>
        <w:t>1327</w:t>
      </w:r>
      <w:r>
        <w:rPr>
          <w:rFonts w:hint="eastAsia"/>
        </w:rPr>
        <w:t>个，多分布在丘陵山区及盆谷地。全区蕴藏</w:t>
      </w:r>
      <w:r>
        <w:rPr>
          <w:rFonts w:hint="eastAsia"/>
        </w:rPr>
        <w:t>350</w:t>
      </w:r>
      <w:r>
        <w:rPr>
          <w:rFonts w:hint="eastAsia"/>
        </w:rPr>
        <w:t>万千瓦电力资源，水资源异常丰富。本公司位于吉林市龙潭区大砬子村二队，</w:t>
      </w:r>
      <w:r>
        <w:rPr>
          <w:rFonts w:hint="eastAsia"/>
          <w:lang w:val="en-US"/>
        </w:rPr>
        <w:t>厂区地下水流场图见</w:t>
      </w:r>
      <w:r>
        <w:rPr>
          <w:rFonts w:hint="eastAsia"/>
        </w:rPr>
        <w:t>下图。</w:t>
      </w:r>
    </w:p>
    <w:p w:rsidR="002E0378" w:rsidRDefault="005C380A">
      <w:pPr>
        <w:pStyle w:val="5"/>
        <w:numPr>
          <w:ilvl w:val="0"/>
          <w:numId w:val="0"/>
        </w:numPr>
        <w:sectPr w:rsidR="002E0378">
          <w:pgSz w:w="11906" w:h="16838"/>
          <w:pgMar w:top="1440" w:right="1800" w:bottom="1440" w:left="1800" w:header="851" w:footer="992" w:gutter="0"/>
          <w:cols w:space="720"/>
          <w:docGrid w:type="lines" w:linePitch="312"/>
        </w:sectPr>
      </w:pPr>
      <w:r>
        <w:rPr>
          <w:noProof/>
        </w:rPr>
        <w:lastRenderedPageBreak/>
        <mc:AlternateContent>
          <mc:Choice Requires="wps">
            <w:drawing>
              <wp:anchor distT="0" distB="0" distL="114300" distR="114300" simplePos="0" relativeHeight="251664384" behindDoc="0" locked="0" layoutInCell="1" allowOverlap="1">
                <wp:simplePos x="0" y="0"/>
                <wp:positionH relativeFrom="column">
                  <wp:posOffset>1474470</wp:posOffset>
                </wp:positionH>
                <wp:positionV relativeFrom="paragraph">
                  <wp:posOffset>5407025</wp:posOffset>
                </wp:positionV>
                <wp:extent cx="2134235" cy="324485"/>
                <wp:effectExtent l="0" t="0" r="0" b="0"/>
                <wp:wrapNone/>
                <wp:docPr id="14" name="文本框 731"/>
                <wp:cNvGraphicFramePr/>
                <a:graphic xmlns:a="http://schemas.openxmlformats.org/drawingml/2006/main">
                  <a:graphicData uri="http://schemas.microsoft.com/office/word/2010/wordprocessingShape">
                    <wps:wsp>
                      <wps:cNvSpPr txBox="1"/>
                      <wps:spPr>
                        <a:xfrm>
                          <a:off x="0" y="0"/>
                          <a:ext cx="2134235" cy="324485"/>
                        </a:xfrm>
                        <a:prstGeom prst="rect">
                          <a:avLst/>
                        </a:prstGeom>
                        <a:noFill/>
                        <a:ln>
                          <a:noFill/>
                        </a:ln>
                      </wps:spPr>
                      <wps:txbx>
                        <w:txbxContent>
                          <w:p w:rsidR="002E0378" w:rsidRDefault="005C380A">
                            <w:r>
                              <w:rPr>
                                <w:rFonts w:ascii="Times New Roman" w:hAnsi="Times New Roman"/>
                                <w:b/>
                                <w:bCs/>
                              </w:rPr>
                              <w:t>图</w:t>
                            </w:r>
                            <w:r>
                              <w:rPr>
                                <w:rFonts w:ascii="Times New Roman" w:hAnsi="Times New Roman"/>
                                <w:b/>
                                <w:bCs/>
                              </w:rPr>
                              <w:t xml:space="preserve">5-1  </w:t>
                            </w:r>
                            <w:r>
                              <w:rPr>
                                <w:rFonts w:ascii="Times New Roman" w:hAnsi="Times New Roman"/>
                                <w:b/>
                                <w:bCs/>
                              </w:rPr>
                              <w:t>厂区地下水流场图</w:t>
                            </w:r>
                          </w:p>
                        </w:txbxContent>
                      </wps:txbx>
                      <wps:bodyPr wrap="square" upright="1"/>
                    </wps:wsp>
                  </a:graphicData>
                </a:graphic>
              </wp:anchor>
            </w:drawing>
          </mc:Choice>
          <mc:Fallback xmlns:w15="http://schemas.microsoft.com/office/word/2012/wordml" xmlns:wpsCustomData="http://www.wps.cn/officeDocument/2013/wpsCustomData">
            <w:pict>
              <v:shape id="文本框 731" o:spid="_x0000_s1026" o:spt="202" type="#_x0000_t202" style="position:absolute;left:0pt;margin-left:116.1pt;margin-top:425.75pt;height:25.55pt;width:168.05pt;z-index:251664384;mso-width-relative:page;mso-height-relative:page;" filled="f" stroked="f" coordsize="21600,21600" o:gfxdata="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XchDG2QAAAAsBAAAPAAAAAAAAAAEAIAAAACIAAABkcnMvZG93bnJldi54bWxQSwEC&#10;FAAUAAAACACHTuJAvCo4xboBAABfAwAADgAAAAAAAAABACAAAAAoAQAAZHJzL2Uyb0RvYy54bWxQ&#10;SwUGAAAAAAYABgBZAQAAVAUAAAAA&#10;">
                <v:fill on="f" focussize="0,0"/>
                <v:stroke on="f"/>
                <v:imagedata o:title=""/>
                <o:lock v:ext="edit" aspectratio="f"/>
                <v:textbox>
                  <w:txbxContent>
                    <w:p>
                      <w:r>
                        <w:rPr>
                          <w:rFonts w:ascii="Times New Roman" w:hAnsi="Times New Roman"/>
                          <w:b/>
                          <w:bCs/>
                        </w:rPr>
                        <w:t xml:space="preserve">图5-1  </w:t>
                      </w:r>
                      <w:r>
                        <w:rPr>
                          <w:rFonts w:hint="default" w:ascii="Times New Roman" w:hAnsi="Times New Roman"/>
                          <w:b/>
                          <w:bCs/>
                          <w:lang w:val="en-US" w:eastAsia="zh-CN"/>
                        </w:rPr>
                        <w:t>厂区地下水流场图</w:t>
                      </w:r>
                    </w:p>
                  </w:txbxContent>
                </v:textbox>
              </v:shape>
            </w:pict>
          </mc:Fallback>
        </mc:AlternateContent>
      </w:r>
      <w:r>
        <w:rPr>
          <w:rFonts w:ascii="Times New Roman" w:hAnsi="Times New Roman"/>
          <w:noProof/>
          <w:sz w:val="24"/>
          <w:szCs w:val="20"/>
        </w:rPr>
        <w:drawing>
          <wp:inline distT="0" distB="0" distL="114300" distR="114300">
            <wp:extent cx="5351145" cy="5158105"/>
            <wp:effectExtent l="0" t="0" r="1905" b="4445"/>
            <wp:docPr id="61" name="图片 6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1"/>
                    <pic:cNvPicPr>
                      <a:picLocks noChangeAspect="1"/>
                    </pic:cNvPicPr>
                  </pic:nvPicPr>
                  <pic:blipFill>
                    <a:blip r:embed="rId44"/>
                    <a:stretch>
                      <a:fillRect/>
                    </a:stretch>
                  </pic:blipFill>
                  <pic:spPr>
                    <a:xfrm>
                      <a:off x="0" y="0"/>
                      <a:ext cx="5351145" cy="5158105"/>
                    </a:xfrm>
                    <a:prstGeom prst="rect">
                      <a:avLst/>
                    </a:prstGeom>
                  </pic:spPr>
                </pic:pic>
              </a:graphicData>
            </a:graphic>
          </wp:inline>
        </w:drawing>
      </w:r>
      <w:r>
        <w:rPr>
          <w:noProof/>
        </w:rPr>
        <mc:AlternateContent>
          <mc:Choice Requires="wps">
            <w:drawing>
              <wp:anchor distT="0" distB="0" distL="114300" distR="114300" simplePos="0" relativeHeight="251663360" behindDoc="0" locked="0" layoutInCell="1" allowOverlap="1">
                <wp:simplePos x="0" y="0"/>
                <wp:positionH relativeFrom="column">
                  <wp:posOffset>483870</wp:posOffset>
                </wp:positionH>
                <wp:positionV relativeFrom="paragraph">
                  <wp:posOffset>3828415</wp:posOffset>
                </wp:positionV>
                <wp:extent cx="486410" cy="353060"/>
                <wp:effectExtent l="0" t="0" r="0" b="0"/>
                <wp:wrapNone/>
                <wp:docPr id="9" name="文本框 726"/>
                <wp:cNvGraphicFramePr/>
                <a:graphic xmlns:a="http://schemas.openxmlformats.org/drawingml/2006/main">
                  <a:graphicData uri="http://schemas.microsoft.com/office/word/2010/wordprocessingShape">
                    <wps:wsp>
                      <wps:cNvSpPr txBox="1"/>
                      <wps:spPr>
                        <a:xfrm>
                          <a:off x="0" y="0"/>
                          <a:ext cx="486410" cy="353060"/>
                        </a:xfrm>
                        <a:prstGeom prst="rect">
                          <a:avLst/>
                        </a:prstGeom>
                        <a:noFill/>
                        <a:ln>
                          <a:noFill/>
                        </a:ln>
                      </wps:spPr>
                      <wps:txbx>
                        <w:txbxContent>
                          <w:p w:rsidR="002E0378" w:rsidRDefault="005C380A">
                            <w:pPr>
                              <w:jc w:val="both"/>
                            </w:pPr>
                            <w:r>
                              <w:rPr>
                                <w:rFonts w:hint="eastAsia"/>
                              </w:rPr>
                              <w:t>图例</w:t>
                            </w:r>
                          </w:p>
                        </w:txbxContent>
                      </wps:txbx>
                      <wps:bodyPr wrap="square" upright="1"/>
                    </wps:wsp>
                  </a:graphicData>
                </a:graphic>
              </wp:anchor>
            </w:drawing>
          </mc:Choice>
          <mc:Fallback xmlns:w15="http://schemas.microsoft.com/office/word/2012/wordml" xmlns:wpsCustomData="http://www.wps.cn/officeDocument/2013/wpsCustomData">
            <w:pict>
              <v:shape id="文本框 726" o:spid="_x0000_s1026" o:spt="202" type="#_x0000_t202" style="position:absolute;left:0pt;margin-left:38.1pt;margin-top:301.45pt;height:27.8pt;width:38.3pt;z-index:251663360;mso-width-relative:page;mso-height-relative:page;" filled="f" stroked="f" coordsize="21600,21600" o:gfxdata="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PTKB21wAAAAoBAAAPAAAAAAAAAAEAIAAAACIAAABkcnMvZG93bnJldi54bWxQSwECFAAU&#10;AAAACACHTuJA8VgZsLkBAABdAwAADgAAAAAAAAABACAAAAAmAQAAZHJzL2Uyb0RvYy54bWxQSwUG&#10;AAAAAAYABgBZAQAAUQUAAAAA&#10;">
                <v:fill on="f" focussize="0,0"/>
                <v:stroke on="f"/>
                <v:imagedata o:title=""/>
                <o:lock v:ext="edit" aspectratio="f"/>
                <v:textbox>
                  <w:txbxContent>
                    <w:p>
                      <w:pPr>
                        <w:jc w:val="both"/>
                        <w:rPr>
                          <w:rFonts w:hint="eastAsia"/>
                        </w:rPr>
                      </w:pPr>
                      <w:r>
                        <w:rPr>
                          <w:rFonts w:hint="eastAsia"/>
                        </w:rPr>
                        <w:t>图例</w:t>
                      </w:r>
                    </w:p>
                  </w:txbxContent>
                </v:textbox>
              </v:shape>
            </w:pict>
          </mc:Fallback>
        </mc:AlternateContent>
      </w:r>
    </w:p>
    <w:p w:rsidR="002E0378" w:rsidRDefault="005C380A">
      <w:pPr>
        <w:pStyle w:val="3"/>
        <w:rPr>
          <w:rFonts w:cs="宋体"/>
          <w:szCs w:val="28"/>
        </w:rPr>
      </w:pPr>
      <w:bookmarkStart w:id="71" w:name="_Toc19385"/>
      <w:r>
        <w:lastRenderedPageBreak/>
        <w:t>5.1.4</w:t>
      </w:r>
      <w:r>
        <w:rPr>
          <w:rFonts w:hint="eastAsia"/>
        </w:rPr>
        <w:t xml:space="preserve"> </w:t>
      </w:r>
      <w:r>
        <w:t>采样点布设</w:t>
      </w:r>
      <w:bookmarkEnd w:id="71"/>
    </w:p>
    <w:p w:rsidR="002E0378" w:rsidRDefault="005C380A">
      <w:pPr>
        <w:pStyle w:val="a4"/>
        <w:ind w:firstLine="480"/>
        <w:rPr>
          <w:lang w:val="en-US"/>
        </w:rPr>
      </w:pPr>
      <w:r>
        <w:rPr>
          <w:rFonts w:hint="eastAsia"/>
          <w:lang w:val="en-US"/>
        </w:rPr>
        <w:t>1</w:t>
      </w:r>
      <w:r>
        <w:rPr>
          <w:rFonts w:hint="eastAsia"/>
          <w:lang w:val="en-US"/>
        </w:rPr>
        <w:t>、土壤点位布设</w:t>
      </w:r>
    </w:p>
    <w:p w:rsidR="002E0378" w:rsidRDefault="005C380A">
      <w:pPr>
        <w:pStyle w:val="WPSOffice1"/>
        <w:tabs>
          <w:tab w:val="right" w:leader="dot" w:pos="8306"/>
        </w:tabs>
        <w:spacing w:line="460" w:lineRule="exact"/>
        <w:ind w:firstLineChars="200" w:firstLine="480"/>
        <w:rPr>
          <w:sz w:val="24"/>
          <w:szCs w:val="32"/>
        </w:rPr>
      </w:pPr>
      <w:r>
        <w:rPr>
          <w:sz w:val="24"/>
          <w:szCs w:val="32"/>
        </w:rPr>
        <w:t>结合企业重点区域与重点设施设备情况，共筛选</w:t>
      </w:r>
      <w:r>
        <w:rPr>
          <w:sz w:val="24"/>
          <w:szCs w:val="32"/>
        </w:rPr>
        <w:t>3</w:t>
      </w:r>
      <w:r>
        <w:rPr>
          <w:sz w:val="24"/>
          <w:szCs w:val="32"/>
        </w:rPr>
        <w:t>个布点区域，分别为填埋区（</w:t>
      </w:r>
      <w:r>
        <w:rPr>
          <w:sz w:val="24"/>
          <w:szCs w:val="32"/>
        </w:rPr>
        <w:t>A</w:t>
      </w:r>
      <w:r>
        <w:rPr>
          <w:sz w:val="24"/>
          <w:szCs w:val="32"/>
        </w:rPr>
        <w:t>区）、物化、焚烧及贮存区（</w:t>
      </w:r>
      <w:r>
        <w:rPr>
          <w:sz w:val="24"/>
          <w:szCs w:val="32"/>
        </w:rPr>
        <w:t>B</w:t>
      </w:r>
      <w:r>
        <w:rPr>
          <w:sz w:val="24"/>
          <w:szCs w:val="32"/>
        </w:rPr>
        <w:t>区）、污水处理区（</w:t>
      </w:r>
      <w:r>
        <w:rPr>
          <w:sz w:val="24"/>
          <w:szCs w:val="32"/>
        </w:rPr>
        <w:t>C</w:t>
      </w:r>
      <w:r>
        <w:rPr>
          <w:sz w:val="24"/>
          <w:szCs w:val="32"/>
        </w:rPr>
        <w:t>区）。</w:t>
      </w:r>
    </w:p>
    <w:p w:rsidR="002E0378" w:rsidRDefault="005C380A">
      <w:pPr>
        <w:pStyle w:val="WPSOffice1"/>
        <w:tabs>
          <w:tab w:val="right" w:leader="dot" w:pos="8306"/>
        </w:tabs>
        <w:spacing w:line="460" w:lineRule="exact"/>
        <w:ind w:firstLineChars="200" w:firstLine="480"/>
        <w:rPr>
          <w:sz w:val="24"/>
          <w:szCs w:val="32"/>
        </w:rPr>
      </w:pPr>
      <w:r>
        <w:rPr>
          <w:sz w:val="24"/>
          <w:szCs w:val="32"/>
        </w:rPr>
        <w:t>土壤对照点（</w:t>
      </w:r>
      <w:r>
        <w:rPr>
          <w:sz w:val="24"/>
          <w:szCs w:val="32"/>
        </w:rPr>
        <w:t>S01</w:t>
      </w:r>
      <w:r>
        <w:rPr>
          <w:sz w:val="24"/>
          <w:szCs w:val="32"/>
        </w:rPr>
        <w:t>）：布设于厂区西北角。</w:t>
      </w:r>
    </w:p>
    <w:p w:rsidR="002E0378" w:rsidRDefault="005C380A">
      <w:pPr>
        <w:pStyle w:val="WPSOffice1"/>
        <w:tabs>
          <w:tab w:val="right" w:leader="dot" w:pos="8306"/>
        </w:tabs>
        <w:spacing w:line="460" w:lineRule="exact"/>
        <w:ind w:firstLineChars="200" w:firstLine="480"/>
        <w:rPr>
          <w:sz w:val="24"/>
          <w:szCs w:val="32"/>
        </w:rPr>
      </w:pPr>
      <w:r>
        <w:rPr>
          <w:sz w:val="24"/>
          <w:szCs w:val="32"/>
        </w:rPr>
        <w:t>A</w:t>
      </w:r>
      <w:r>
        <w:rPr>
          <w:sz w:val="24"/>
          <w:szCs w:val="32"/>
        </w:rPr>
        <w:t>区：在该区域布设</w:t>
      </w:r>
      <w:r>
        <w:rPr>
          <w:sz w:val="24"/>
          <w:szCs w:val="32"/>
        </w:rPr>
        <w:t>1</w:t>
      </w:r>
      <w:r>
        <w:rPr>
          <w:sz w:val="24"/>
          <w:szCs w:val="32"/>
        </w:rPr>
        <w:t>个土壤采样点。</w:t>
      </w:r>
    </w:p>
    <w:p w:rsidR="002E0378" w:rsidRDefault="005C380A">
      <w:pPr>
        <w:pStyle w:val="WPSOffice1"/>
        <w:tabs>
          <w:tab w:val="right" w:leader="dot" w:pos="8306"/>
        </w:tabs>
        <w:spacing w:line="460" w:lineRule="exact"/>
        <w:ind w:firstLineChars="200" w:firstLine="480"/>
        <w:rPr>
          <w:sz w:val="24"/>
          <w:szCs w:val="32"/>
        </w:rPr>
      </w:pPr>
      <w:r>
        <w:rPr>
          <w:sz w:val="24"/>
          <w:szCs w:val="32"/>
        </w:rPr>
        <w:t>B</w:t>
      </w:r>
      <w:r>
        <w:rPr>
          <w:sz w:val="24"/>
          <w:szCs w:val="32"/>
        </w:rPr>
        <w:t>区：在该区域布设</w:t>
      </w:r>
      <w:r>
        <w:rPr>
          <w:sz w:val="24"/>
          <w:szCs w:val="32"/>
        </w:rPr>
        <w:t>5</w:t>
      </w:r>
      <w:r>
        <w:rPr>
          <w:sz w:val="24"/>
          <w:szCs w:val="32"/>
        </w:rPr>
        <w:t>个土壤采样点。</w:t>
      </w:r>
    </w:p>
    <w:p w:rsidR="002E0378" w:rsidRDefault="005C380A">
      <w:pPr>
        <w:pStyle w:val="WPSOffice1"/>
        <w:tabs>
          <w:tab w:val="right" w:leader="dot" w:pos="8306"/>
        </w:tabs>
        <w:spacing w:line="460" w:lineRule="exact"/>
        <w:ind w:firstLineChars="200" w:firstLine="480"/>
        <w:rPr>
          <w:sz w:val="24"/>
          <w:szCs w:val="32"/>
        </w:rPr>
      </w:pPr>
      <w:r>
        <w:rPr>
          <w:sz w:val="24"/>
          <w:szCs w:val="32"/>
        </w:rPr>
        <w:t>C</w:t>
      </w:r>
      <w:r>
        <w:rPr>
          <w:sz w:val="24"/>
          <w:szCs w:val="32"/>
        </w:rPr>
        <w:t>区：在该区域布设</w:t>
      </w:r>
      <w:r>
        <w:rPr>
          <w:sz w:val="24"/>
          <w:szCs w:val="32"/>
        </w:rPr>
        <w:t>1</w:t>
      </w:r>
      <w:r>
        <w:rPr>
          <w:sz w:val="24"/>
          <w:szCs w:val="32"/>
        </w:rPr>
        <w:t>个土壤采样点。</w:t>
      </w:r>
    </w:p>
    <w:p w:rsidR="002E0378" w:rsidRDefault="005C380A">
      <w:pPr>
        <w:pStyle w:val="a4"/>
        <w:ind w:firstLine="480"/>
      </w:pPr>
      <w:r>
        <w:rPr>
          <w:rFonts w:hint="eastAsia"/>
        </w:rPr>
        <w:t>土壤点位布设方案见下表及下图。</w:t>
      </w:r>
    </w:p>
    <w:p w:rsidR="002E0378" w:rsidRDefault="005C380A">
      <w:pPr>
        <w:widowControl w:val="0"/>
        <w:spacing w:line="560" w:lineRule="exact"/>
        <w:rPr>
          <w:rFonts w:ascii="Times New Roman" w:hAnsi="Times New Roman"/>
          <w:sz w:val="24"/>
          <w:szCs w:val="24"/>
        </w:rPr>
      </w:pPr>
      <w:r>
        <w:rPr>
          <w:rFonts w:ascii="Times New Roman" w:hAnsi="Times New Roman"/>
          <w:b/>
          <w:bCs/>
          <w:sz w:val="24"/>
          <w:szCs w:val="24"/>
        </w:rPr>
        <w:t>表</w:t>
      </w:r>
      <w:r>
        <w:rPr>
          <w:rFonts w:ascii="Times New Roman" w:hAnsi="Times New Roman" w:hint="eastAsia"/>
          <w:b/>
          <w:bCs/>
          <w:sz w:val="24"/>
          <w:szCs w:val="24"/>
        </w:rPr>
        <w:t>5-1</w:t>
      </w:r>
      <w:r>
        <w:rPr>
          <w:rFonts w:ascii="Times New Roman" w:hAnsi="Times New Roman"/>
          <w:b/>
          <w:bCs/>
          <w:sz w:val="24"/>
          <w:szCs w:val="24"/>
        </w:rPr>
        <w:t xml:space="preserve">  </w:t>
      </w:r>
      <w:r>
        <w:rPr>
          <w:rFonts w:ascii="Times New Roman" w:hAnsi="Times New Roman"/>
          <w:b/>
          <w:bCs/>
          <w:sz w:val="24"/>
          <w:szCs w:val="24"/>
        </w:rPr>
        <w:t>土壤布点方案表</w:t>
      </w:r>
    </w:p>
    <w:tbl>
      <w:tblPr>
        <w:tblW w:w="53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9"/>
        <w:gridCol w:w="429"/>
        <w:gridCol w:w="1028"/>
        <w:gridCol w:w="1473"/>
        <w:gridCol w:w="1045"/>
        <w:gridCol w:w="1092"/>
        <w:gridCol w:w="1169"/>
        <w:gridCol w:w="1158"/>
        <w:gridCol w:w="946"/>
      </w:tblGrid>
      <w:tr w:rsidR="002E0378">
        <w:trPr>
          <w:trHeight w:val="620"/>
          <w:jc w:val="center"/>
        </w:trPr>
        <w:tc>
          <w:tcPr>
            <w:tcW w:w="427" w:type="pct"/>
            <w:tcBorders>
              <w:top w:val="single" w:sz="4" w:space="0" w:color="000000"/>
              <w:left w:val="single" w:sz="4" w:space="0" w:color="000000"/>
              <w:bottom w:val="single" w:sz="4" w:space="0" w:color="000000"/>
              <w:right w:val="single" w:sz="4" w:space="0" w:color="auto"/>
            </w:tcBorders>
            <w:vAlign w:val="center"/>
          </w:tcPr>
          <w:p w:rsidR="002E0378" w:rsidRDefault="005C380A">
            <w:pPr>
              <w:spacing w:line="240" w:lineRule="exact"/>
              <w:rPr>
                <w:rStyle w:val="NormalCharacter"/>
                <w:rFonts w:ascii="Times New Roman" w:eastAsiaTheme="minorEastAsia" w:hAnsi="Times New Roman"/>
                <w:b/>
                <w:kern w:val="0"/>
              </w:rPr>
            </w:pPr>
            <w:r>
              <w:rPr>
                <w:rStyle w:val="NormalCharacter"/>
                <w:rFonts w:ascii="Times New Roman" w:eastAsiaTheme="minorEastAsia" w:hAnsi="Times New Roman"/>
                <w:b/>
                <w:kern w:val="0"/>
              </w:rPr>
              <w:t>布点区域</w:t>
            </w: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rPr>
                <w:rStyle w:val="NormalCharacter"/>
                <w:rFonts w:ascii="Times New Roman" w:eastAsiaTheme="minorEastAsia" w:hAnsi="Times New Roman"/>
                <w:b/>
                <w:kern w:val="0"/>
              </w:rPr>
            </w:pPr>
            <w:r>
              <w:rPr>
                <w:rStyle w:val="NormalCharacter"/>
                <w:rFonts w:ascii="Times New Roman" w:eastAsiaTheme="minorEastAsia" w:hAnsi="Times New Roman"/>
                <w:b/>
                <w:kern w:val="0"/>
              </w:rPr>
              <w:t>编号</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Fonts w:ascii="Times New Roman" w:eastAsiaTheme="minorEastAsia" w:hAnsi="Times New Roman"/>
                <w:b/>
                <w:kern w:val="0"/>
              </w:rPr>
            </w:pPr>
            <w:r>
              <w:rPr>
                <w:rStyle w:val="NormalCharacter"/>
                <w:rFonts w:ascii="Times New Roman" w:eastAsiaTheme="minorEastAsia" w:hAnsi="Times New Roman"/>
                <w:b/>
                <w:kern w:val="0"/>
              </w:rPr>
              <w:t>布点位置</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eastAsiaTheme="minorEastAsia" w:hAnsi="Times New Roman"/>
                <w:b/>
                <w:kern w:val="0"/>
              </w:rPr>
            </w:pPr>
            <w:r>
              <w:rPr>
                <w:rFonts w:ascii="Times New Roman" w:eastAsiaTheme="minorEastAsia" w:hAnsi="Times New Roman"/>
                <w:b/>
                <w:bCs/>
              </w:rPr>
              <w:t>坐标</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eastAsiaTheme="minorEastAsia" w:hAnsi="Times New Roman"/>
                <w:kern w:val="0"/>
              </w:rPr>
            </w:pPr>
            <w:r>
              <w:rPr>
                <w:rStyle w:val="NormalCharacter"/>
                <w:rFonts w:ascii="Times New Roman" w:eastAsiaTheme="minorEastAsia" w:hAnsi="Times New Roman"/>
                <w:b/>
                <w:kern w:val="0"/>
              </w:rPr>
              <w:t>布点位置确定理由</w:t>
            </w:r>
          </w:p>
        </w:tc>
        <w:tc>
          <w:tcPr>
            <w:tcW w:w="633" w:type="pct"/>
            <w:tcBorders>
              <w:top w:val="single" w:sz="4" w:space="0" w:color="000000"/>
              <w:left w:val="single" w:sz="4" w:space="0" w:color="000000"/>
              <w:bottom w:val="single" w:sz="4" w:space="0" w:color="000000"/>
              <w:right w:val="single" w:sz="4" w:space="0" w:color="auto"/>
            </w:tcBorders>
            <w:vAlign w:val="center"/>
          </w:tcPr>
          <w:p w:rsidR="002E0378" w:rsidRDefault="005C380A">
            <w:pPr>
              <w:spacing w:line="240" w:lineRule="exact"/>
              <w:rPr>
                <w:rStyle w:val="NormalCharacter"/>
                <w:rFonts w:ascii="Times New Roman" w:eastAsiaTheme="minorEastAsia" w:hAnsi="Times New Roman"/>
                <w:b/>
                <w:kern w:val="0"/>
              </w:rPr>
            </w:pPr>
            <w:r>
              <w:rPr>
                <w:rStyle w:val="NormalCharacter"/>
                <w:rFonts w:ascii="Times New Roman" w:eastAsiaTheme="minorEastAsia" w:hAnsi="Times New Roman"/>
                <w:b/>
                <w:kern w:val="0"/>
              </w:rPr>
              <w:t>采样深度</w:t>
            </w:r>
          </w:p>
        </w:tc>
        <w:tc>
          <w:tcPr>
            <w:tcW w:w="675" w:type="pct"/>
            <w:tcBorders>
              <w:top w:val="single" w:sz="4" w:space="0" w:color="000000"/>
              <w:left w:val="single" w:sz="4" w:space="0" w:color="auto"/>
              <w:bottom w:val="single" w:sz="4" w:space="0" w:color="000000"/>
              <w:right w:val="single" w:sz="4" w:space="0" w:color="auto"/>
            </w:tcBorders>
            <w:vAlign w:val="center"/>
          </w:tcPr>
          <w:p w:rsidR="002E0378" w:rsidRDefault="005C380A">
            <w:pPr>
              <w:spacing w:line="240" w:lineRule="exact"/>
              <w:rPr>
                <w:rFonts w:ascii="Times New Roman" w:eastAsiaTheme="minorEastAsia" w:hAnsi="Times New Roman"/>
                <w:b/>
                <w:kern w:val="0"/>
              </w:rPr>
            </w:pPr>
            <w:r>
              <w:rPr>
                <w:rStyle w:val="NormalCharacter"/>
                <w:rFonts w:ascii="Times New Roman" w:eastAsiaTheme="minorEastAsia" w:hAnsi="Times New Roman"/>
                <w:b/>
                <w:kern w:val="0"/>
              </w:rPr>
              <w:t>监测指标</w:t>
            </w:r>
          </w:p>
        </w:tc>
        <w:tc>
          <w:tcPr>
            <w:tcW w:w="669" w:type="pct"/>
            <w:tcBorders>
              <w:top w:val="single" w:sz="4" w:space="0" w:color="000000"/>
              <w:left w:val="single" w:sz="4" w:space="0" w:color="auto"/>
              <w:bottom w:val="single" w:sz="4" w:space="0" w:color="000000"/>
              <w:right w:val="single" w:sz="4" w:space="0" w:color="auto"/>
            </w:tcBorders>
            <w:vAlign w:val="center"/>
          </w:tcPr>
          <w:p w:rsidR="002E0378" w:rsidRDefault="005C380A">
            <w:pPr>
              <w:spacing w:line="240" w:lineRule="exact"/>
              <w:rPr>
                <w:rFonts w:ascii="Times New Roman" w:eastAsiaTheme="minorEastAsia" w:hAnsi="Times New Roman"/>
                <w:b/>
                <w:kern w:val="0"/>
              </w:rPr>
            </w:pPr>
            <w:r>
              <w:rPr>
                <w:rStyle w:val="NormalCharacter"/>
                <w:rFonts w:ascii="Times New Roman" w:eastAsiaTheme="minorEastAsia" w:hAnsi="Times New Roman"/>
                <w:b/>
                <w:kern w:val="0"/>
              </w:rPr>
              <w:t>后续监测</w:t>
            </w: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rPr>
                <w:rStyle w:val="NormalCharacter"/>
                <w:rFonts w:ascii="Times New Roman" w:eastAsiaTheme="minorEastAsia" w:hAnsi="Times New Roman"/>
                <w:b/>
                <w:kern w:val="0"/>
              </w:rPr>
            </w:pPr>
            <w:r>
              <w:rPr>
                <w:rStyle w:val="NormalCharacter"/>
                <w:rFonts w:ascii="Times New Roman" w:eastAsiaTheme="minorEastAsia" w:hAnsi="Times New Roman"/>
                <w:b/>
                <w:kern w:val="0"/>
              </w:rPr>
              <w:t>监测频次</w:t>
            </w:r>
          </w:p>
        </w:tc>
      </w:tr>
      <w:tr w:rsidR="002E0378">
        <w:trPr>
          <w:trHeight w:val="575"/>
          <w:jc w:val="center"/>
        </w:trPr>
        <w:tc>
          <w:tcPr>
            <w:tcW w:w="427" w:type="pct"/>
            <w:tcBorders>
              <w:top w:val="single" w:sz="4" w:space="0" w:color="000000"/>
              <w:left w:val="single" w:sz="4" w:space="0" w:color="000000"/>
              <w:bottom w:val="single" w:sz="4" w:space="0" w:color="000000"/>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土壤对照点</w:t>
            </w: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S01</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填埋场西北侧</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126°36′3.81″</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N 43°55′9.63″</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获取地块该区域的土壤背景值</w:t>
            </w:r>
          </w:p>
        </w:tc>
        <w:tc>
          <w:tcPr>
            <w:tcW w:w="633" w:type="pct"/>
            <w:vMerge w:val="restart"/>
            <w:tcBorders>
              <w:top w:val="single" w:sz="4" w:space="0" w:color="000000"/>
              <w:left w:val="single" w:sz="4" w:space="0" w:color="000000"/>
              <w:right w:val="single" w:sz="4" w:space="0" w:color="auto"/>
            </w:tcBorders>
            <w:vAlign w:val="center"/>
          </w:tcPr>
          <w:p w:rsidR="002E0378" w:rsidRDefault="005C380A">
            <w:pPr>
              <w:spacing w:line="240" w:lineRule="exact"/>
              <w:ind w:leftChars="-40" w:left="-84" w:rightChars="-40" w:right="-84"/>
              <w:rPr>
                <w:rFonts w:ascii="Times New Roman" w:hAnsi="Times New Roman"/>
              </w:rPr>
            </w:pPr>
            <w:r>
              <w:rPr>
                <w:rFonts w:ascii="Times New Roman" w:hAnsi="Times New Roman"/>
                <w:kern w:val="0"/>
              </w:rPr>
              <w:t>表层样</w:t>
            </w:r>
            <w:r>
              <w:rPr>
                <w:rFonts w:ascii="Times New Roman" w:eastAsiaTheme="minorEastAsia" w:hAnsi="Times New Roman"/>
              </w:rPr>
              <w:t>0-0.5m</w:t>
            </w:r>
            <w:r>
              <w:rPr>
                <w:rFonts w:ascii="Times New Roman" w:eastAsiaTheme="minorEastAsia" w:hAnsi="Times New Roman"/>
              </w:rPr>
              <w:t>；</w:t>
            </w:r>
            <w:r>
              <w:rPr>
                <w:rFonts w:ascii="Times New Roman" w:hAnsi="Times New Roman"/>
                <w:kern w:val="0"/>
              </w:rPr>
              <w:t>深层样</w:t>
            </w:r>
            <w:r>
              <w:rPr>
                <w:rFonts w:ascii="Times New Roman" w:hAnsi="Times New Roman"/>
                <w:kern w:val="0"/>
              </w:rPr>
              <w:t>0.5-1.5m</w:t>
            </w:r>
            <w:r>
              <w:rPr>
                <w:rFonts w:ascii="Times New Roman" w:hAnsi="Times New Roman"/>
                <w:kern w:val="0"/>
              </w:rPr>
              <w:t>，</w:t>
            </w:r>
            <w:r>
              <w:rPr>
                <w:rFonts w:ascii="Times New Roman" w:hAnsi="Times New Roman"/>
                <w:kern w:val="0"/>
              </w:rPr>
              <w:t>1.5-3.0m</w:t>
            </w:r>
            <w:r>
              <w:rPr>
                <w:rFonts w:ascii="Times New Roman" w:hAnsi="Times New Roman"/>
                <w:kern w:val="0"/>
              </w:rPr>
              <w:t>，</w:t>
            </w:r>
            <w:r>
              <w:rPr>
                <w:rFonts w:ascii="Times New Roman" w:hAnsi="Times New Roman"/>
                <w:kern w:val="0"/>
              </w:rPr>
              <w:t>3.0-4.5m</w:t>
            </w:r>
            <w:r>
              <w:rPr>
                <w:rFonts w:ascii="Times New Roman" w:hAnsi="Times New Roman"/>
                <w:kern w:val="0"/>
              </w:rPr>
              <w:t>，</w:t>
            </w:r>
            <w:r>
              <w:rPr>
                <w:rFonts w:ascii="Times New Roman" w:hAnsi="Times New Roman"/>
                <w:kern w:val="0"/>
              </w:rPr>
              <w:t>4.5-6.0m</w:t>
            </w:r>
          </w:p>
        </w:tc>
        <w:tc>
          <w:tcPr>
            <w:tcW w:w="675" w:type="pct"/>
            <w:vMerge w:val="restart"/>
            <w:tcBorders>
              <w:top w:val="single" w:sz="4" w:space="0" w:color="000000"/>
              <w:left w:val="single" w:sz="4" w:space="0" w:color="auto"/>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kern w:val="0"/>
              </w:rPr>
            </w:pPr>
            <w:r>
              <w:rPr>
                <w:rFonts w:ascii="Times New Roman" w:eastAsiaTheme="minorEastAsia" w:hAnsi="Times New Roman"/>
                <w:kern w:val="0"/>
              </w:rPr>
              <w:t>砷、镉、铬（六价）、铜、铅、汞、镍、四氯化碳、氯仿、氯甲烷、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二氯乙烷、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二氯乙烷、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二氯乙烯、顺</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二氯乙烯、反</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二氯乙烯、二氯甲烷、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二氯丙烷、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四氯乙烷、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四氯乙烷、四氯乙烯、</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三氯乙烷、</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三氯乙烷、三氯乙烯、</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w:t>
            </w:r>
            <w:r>
              <w:rPr>
                <w:rFonts w:ascii="Times New Roman" w:eastAsiaTheme="minorEastAsia" w:hAnsi="Times New Roman"/>
                <w:kern w:val="0"/>
              </w:rPr>
              <w:t>3-</w:t>
            </w:r>
            <w:r>
              <w:rPr>
                <w:rFonts w:ascii="Times New Roman" w:eastAsiaTheme="minorEastAsia" w:hAnsi="Times New Roman"/>
                <w:kern w:val="0"/>
              </w:rPr>
              <w:t>三氯丙烷、氯乙烯、苯、氯苯、</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二氯苯、</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4-</w:t>
            </w:r>
            <w:r>
              <w:rPr>
                <w:rFonts w:ascii="Times New Roman" w:eastAsiaTheme="minorEastAsia" w:hAnsi="Times New Roman"/>
                <w:kern w:val="0"/>
              </w:rPr>
              <w:t>二氯苯、乙苯、苯乙烯、甲苯、间二甲苯</w:t>
            </w:r>
            <w:r>
              <w:rPr>
                <w:rFonts w:ascii="Times New Roman" w:eastAsiaTheme="minorEastAsia" w:hAnsi="Times New Roman"/>
                <w:kern w:val="0"/>
              </w:rPr>
              <w:t>+</w:t>
            </w:r>
            <w:r>
              <w:rPr>
                <w:rFonts w:ascii="Times New Roman" w:eastAsiaTheme="minorEastAsia" w:hAnsi="Times New Roman"/>
                <w:kern w:val="0"/>
              </w:rPr>
              <w:t>对二</w:t>
            </w:r>
            <w:r>
              <w:rPr>
                <w:rFonts w:ascii="Times New Roman" w:eastAsiaTheme="minorEastAsia" w:hAnsi="Times New Roman"/>
                <w:kern w:val="0"/>
              </w:rPr>
              <w:lastRenderedPageBreak/>
              <w:t>甲苯、邻二甲苯、硝基苯、苯胺、</w:t>
            </w:r>
            <w:r>
              <w:rPr>
                <w:rFonts w:ascii="Times New Roman" w:eastAsiaTheme="minorEastAsia" w:hAnsi="Times New Roman"/>
                <w:kern w:val="0"/>
              </w:rPr>
              <w:t>2-</w:t>
            </w:r>
            <w:r>
              <w:rPr>
                <w:rFonts w:ascii="Times New Roman" w:eastAsiaTheme="minorEastAsia" w:hAnsi="Times New Roman"/>
                <w:kern w:val="0"/>
              </w:rPr>
              <w:t>氯酚、苯并</w:t>
            </w:r>
            <w:r>
              <w:rPr>
                <w:rFonts w:ascii="Times New Roman" w:eastAsiaTheme="minorEastAsia" w:hAnsi="Times New Roman"/>
                <w:kern w:val="0"/>
              </w:rPr>
              <w:t>[a]</w:t>
            </w:r>
            <w:r>
              <w:rPr>
                <w:rFonts w:ascii="Times New Roman" w:eastAsiaTheme="minorEastAsia" w:hAnsi="Times New Roman"/>
                <w:kern w:val="0"/>
              </w:rPr>
              <w:t>蒽、苯并</w:t>
            </w:r>
            <w:r>
              <w:rPr>
                <w:rFonts w:ascii="Times New Roman" w:eastAsiaTheme="minorEastAsia" w:hAnsi="Times New Roman"/>
                <w:kern w:val="0"/>
              </w:rPr>
              <w:t>[a]</w:t>
            </w:r>
            <w:r>
              <w:rPr>
                <w:rFonts w:ascii="Times New Roman" w:eastAsiaTheme="minorEastAsia" w:hAnsi="Times New Roman"/>
                <w:kern w:val="0"/>
              </w:rPr>
              <w:t>芘、苯并</w:t>
            </w:r>
            <w:r>
              <w:rPr>
                <w:rFonts w:ascii="Times New Roman" w:eastAsiaTheme="minorEastAsia" w:hAnsi="Times New Roman"/>
                <w:kern w:val="0"/>
              </w:rPr>
              <w:t>[b]</w:t>
            </w:r>
            <w:r>
              <w:rPr>
                <w:rFonts w:ascii="Times New Roman" w:eastAsiaTheme="minorEastAsia" w:hAnsi="Times New Roman"/>
                <w:kern w:val="0"/>
              </w:rPr>
              <w:t>荧蒽、苯并</w:t>
            </w:r>
            <w:r>
              <w:rPr>
                <w:rFonts w:ascii="Times New Roman" w:eastAsiaTheme="minorEastAsia" w:hAnsi="Times New Roman"/>
                <w:kern w:val="0"/>
              </w:rPr>
              <w:t>[K]</w:t>
            </w:r>
            <w:r>
              <w:rPr>
                <w:rFonts w:ascii="Times New Roman" w:eastAsiaTheme="minorEastAsia" w:hAnsi="Times New Roman"/>
                <w:kern w:val="0"/>
              </w:rPr>
              <w:t>荧蒽、䓛、二苯并</w:t>
            </w:r>
            <w:r>
              <w:rPr>
                <w:rFonts w:ascii="Times New Roman" w:eastAsiaTheme="minorEastAsia" w:hAnsi="Times New Roman"/>
                <w:kern w:val="0"/>
              </w:rPr>
              <w:t>[a</w:t>
            </w:r>
            <w:r>
              <w:rPr>
                <w:rFonts w:ascii="Times New Roman" w:eastAsiaTheme="minorEastAsia" w:hAnsi="Times New Roman"/>
                <w:kern w:val="0"/>
              </w:rPr>
              <w:t>，</w:t>
            </w:r>
            <w:r>
              <w:rPr>
                <w:rFonts w:ascii="Times New Roman" w:eastAsiaTheme="minorEastAsia" w:hAnsi="Times New Roman"/>
                <w:kern w:val="0"/>
              </w:rPr>
              <w:t>h]</w:t>
            </w:r>
            <w:r>
              <w:rPr>
                <w:rFonts w:ascii="Times New Roman" w:eastAsiaTheme="minorEastAsia" w:hAnsi="Times New Roman"/>
                <w:kern w:val="0"/>
              </w:rPr>
              <w:t>蒽、茚并</w:t>
            </w:r>
            <w:r>
              <w:rPr>
                <w:rFonts w:ascii="Times New Roman" w:eastAsiaTheme="minorEastAsia" w:hAnsi="Times New Roman"/>
                <w:kern w:val="0"/>
              </w:rPr>
              <w:t>[1</w:t>
            </w:r>
            <w:r>
              <w:rPr>
                <w:rFonts w:ascii="Times New Roman" w:eastAsiaTheme="minorEastAsia" w:hAnsi="Times New Roman"/>
                <w:kern w:val="0"/>
              </w:rPr>
              <w:t>，</w:t>
            </w:r>
            <w:r>
              <w:rPr>
                <w:rFonts w:ascii="Times New Roman" w:eastAsiaTheme="minorEastAsia" w:hAnsi="Times New Roman"/>
                <w:kern w:val="0"/>
              </w:rPr>
              <w:t>2</w:t>
            </w:r>
            <w:r>
              <w:rPr>
                <w:rFonts w:ascii="Times New Roman" w:eastAsiaTheme="minorEastAsia" w:hAnsi="Times New Roman"/>
                <w:kern w:val="0"/>
              </w:rPr>
              <w:t>，</w:t>
            </w:r>
            <w:r>
              <w:rPr>
                <w:rFonts w:ascii="Times New Roman" w:eastAsiaTheme="minorEastAsia" w:hAnsi="Times New Roman"/>
                <w:kern w:val="0"/>
              </w:rPr>
              <w:t>3-cd]</w:t>
            </w:r>
            <w:r>
              <w:rPr>
                <w:rFonts w:ascii="Times New Roman" w:eastAsiaTheme="minorEastAsia" w:hAnsi="Times New Roman"/>
                <w:kern w:val="0"/>
              </w:rPr>
              <w:t>芘、萘、二噁英</w:t>
            </w:r>
          </w:p>
        </w:tc>
        <w:tc>
          <w:tcPr>
            <w:tcW w:w="669" w:type="pct"/>
            <w:vMerge w:val="restart"/>
            <w:tcBorders>
              <w:top w:val="single" w:sz="4" w:space="0" w:color="000000"/>
              <w:left w:val="single" w:sz="4" w:space="0" w:color="auto"/>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kern w:val="0"/>
              </w:rPr>
            </w:pPr>
            <w:r>
              <w:rPr>
                <w:rFonts w:ascii="Times New Roman" w:eastAsiaTheme="minorEastAsia" w:hAnsi="Times New Roman"/>
              </w:rPr>
              <w:lastRenderedPageBreak/>
              <w:t>S01</w:t>
            </w:r>
            <w:r>
              <w:rPr>
                <w:rFonts w:ascii="Times New Roman" w:eastAsiaTheme="minorEastAsia" w:hAnsi="Times New Roman"/>
              </w:rPr>
              <w:t>及</w:t>
            </w:r>
            <w:r>
              <w:rPr>
                <w:rFonts w:ascii="Times New Roman" w:eastAsiaTheme="minorEastAsia" w:hAnsi="Times New Roman"/>
              </w:rPr>
              <w:t>BT5</w:t>
            </w:r>
            <w:r>
              <w:rPr>
                <w:rFonts w:ascii="Times New Roman" w:eastAsiaTheme="minorEastAsia" w:hAnsi="Times New Roman"/>
              </w:rPr>
              <w:t>两个点位后续不再监测二噁英，其余监测因子均监测；其余点位均监测全部污染因子</w:t>
            </w: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kern w:val="0"/>
              </w:rPr>
            </w:pP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p>
        </w:tc>
      </w:tr>
      <w:tr w:rsidR="002E0378">
        <w:trPr>
          <w:trHeight w:val="535"/>
          <w:jc w:val="center"/>
        </w:trPr>
        <w:tc>
          <w:tcPr>
            <w:tcW w:w="427" w:type="pct"/>
            <w:tcBorders>
              <w:top w:val="single" w:sz="4" w:space="0" w:color="000000"/>
              <w:left w:val="single" w:sz="4" w:space="0" w:color="000000"/>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A</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填埋区</w:t>
            </w: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AT1</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渗滤液收集池东南侧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126°36′10.7″</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 xml:space="preserve"> N 43°54′58.47″</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hAnsi="Times New Roman"/>
                <w:kern w:val="0"/>
              </w:rPr>
            </w:pPr>
            <w:r>
              <w:rPr>
                <w:rStyle w:val="NormalCharacter"/>
                <w:rFonts w:ascii="Times New Roman" w:hAnsi="Times New Roman"/>
                <w:kern w:val="0"/>
              </w:rPr>
              <w:t>紧邻渗滤液收集车间</w:t>
            </w:r>
            <w:r>
              <w:rPr>
                <w:rFonts w:ascii="Times New Roman" w:eastAsiaTheme="minorEastAsia" w:hAnsi="Times New Roman"/>
              </w:rPr>
              <w:t>，</w:t>
            </w:r>
            <w:r>
              <w:rPr>
                <w:rStyle w:val="NormalCharacter"/>
                <w:rFonts w:ascii="Times New Roman" w:hAnsi="Times New Roman"/>
                <w:kern w:val="0"/>
              </w:rPr>
              <w:t>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535"/>
          <w:jc w:val="center"/>
        </w:trPr>
        <w:tc>
          <w:tcPr>
            <w:tcW w:w="427" w:type="pct"/>
            <w:vMerge w:val="restart"/>
            <w:tcBorders>
              <w:top w:val="single" w:sz="4" w:space="0" w:color="000000"/>
              <w:left w:val="single" w:sz="4" w:space="0" w:color="000000"/>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物化、焚烧及贮存区</w:t>
            </w: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BT1</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u w:color="FFFFFF"/>
              </w:rPr>
            </w:pPr>
            <w:r>
              <w:rPr>
                <w:rFonts w:ascii="Times New Roman" w:hAnsi="Times New Roman"/>
                <w:u w:color="FFFFFF"/>
              </w:rPr>
              <w:t>焚烧车间东侧</w:t>
            </w:r>
          </w:p>
          <w:p w:rsidR="002E0378" w:rsidRDefault="005C380A">
            <w:pPr>
              <w:spacing w:line="240" w:lineRule="exact"/>
              <w:ind w:leftChars="-40" w:left="-84" w:rightChars="-40" w:right="-84"/>
              <w:rPr>
                <w:rFonts w:ascii="Times New Roman" w:eastAsiaTheme="minorEastAsia" w:hAnsi="Times New Roman"/>
              </w:rPr>
            </w:pPr>
            <w:r>
              <w:rPr>
                <w:rFonts w:ascii="Times New Roman" w:hAnsi="Times New Roman"/>
                <w:u w:color="FFFFFF"/>
              </w:rPr>
              <w:t>（</w:t>
            </w:r>
            <w:r>
              <w:rPr>
                <w:rFonts w:ascii="Times New Roman" w:hAnsi="Times New Roman"/>
                <w:u w:color="FFFFFF"/>
              </w:rPr>
              <w:t xml:space="preserve">70t/h </w:t>
            </w:r>
            <w:r>
              <w:rPr>
                <w:rFonts w:ascii="Times New Roman" w:hAnsi="Times New Roman"/>
                <w:u w:color="FFFFFF"/>
              </w:rPr>
              <w:t>焚烧车间）</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126°36′19.41″</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N 43°55′0.51″</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hAnsi="Times New Roman"/>
                <w:kern w:val="0"/>
              </w:rPr>
            </w:pPr>
            <w:r>
              <w:rPr>
                <w:rStyle w:val="NormalCharacter"/>
                <w:rFonts w:ascii="Times New Roman" w:hAnsi="Times New Roman"/>
                <w:kern w:val="0"/>
              </w:rPr>
              <w:t>紧邻焚烧炉车间</w:t>
            </w:r>
            <w:r>
              <w:rPr>
                <w:rFonts w:ascii="Times New Roman" w:eastAsiaTheme="minorEastAsia" w:hAnsi="Times New Roman"/>
              </w:rPr>
              <w:t>，</w:t>
            </w:r>
            <w:r>
              <w:rPr>
                <w:rStyle w:val="NormalCharacter"/>
                <w:rFonts w:ascii="Times New Roman" w:hAnsi="Times New Roman"/>
                <w:kern w:val="0"/>
              </w:rPr>
              <w:t>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hAnsi="Times New Roman"/>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535"/>
          <w:jc w:val="center"/>
        </w:trPr>
        <w:tc>
          <w:tcPr>
            <w:tcW w:w="427"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BT2</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hAnsi="Times New Roman"/>
                <w:u w:color="FFFFFF"/>
              </w:rPr>
              <w:t>新建焚烧车间东侧（</w:t>
            </w:r>
            <w:r>
              <w:rPr>
                <w:rFonts w:ascii="Times New Roman" w:hAnsi="Times New Roman"/>
                <w:u w:color="FFFFFF"/>
              </w:rPr>
              <w:t xml:space="preserve">30t/h </w:t>
            </w:r>
            <w:r>
              <w:rPr>
                <w:rFonts w:ascii="Times New Roman" w:hAnsi="Times New Roman"/>
                <w:u w:color="FFFFFF"/>
              </w:rPr>
              <w:t>焚烧车间）</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126°36′19.74″</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N 43°55′2.49″</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hAnsi="Times New Roman"/>
                <w:kern w:val="0"/>
              </w:rPr>
            </w:pPr>
            <w:r>
              <w:rPr>
                <w:rStyle w:val="NormalCharacter"/>
                <w:rFonts w:ascii="Times New Roman" w:hAnsi="Times New Roman"/>
                <w:kern w:val="0"/>
              </w:rPr>
              <w:t>紧邻焚烧炉车间</w:t>
            </w:r>
            <w:r>
              <w:rPr>
                <w:rFonts w:ascii="Times New Roman" w:eastAsiaTheme="minorEastAsia" w:hAnsi="Times New Roman"/>
              </w:rPr>
              <w:t>，</w:t>
            </w:r>
            <w:r>
              <w:rPr>
                <w:rStyle w:val="NormalCharacter"/>
                <w:rFonts w:ascii="Times New Roman" w:hAnsi="Times New Roman"/>
                <w:kern w:val="0"/>
              </w:rPr>
              <w:t>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535"/>
          <w:jc w:val="center"/>
        </w:trPr>
        <w:tc>
          <w:tcPr>
            <w:tcW w:w="427"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267"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BT3</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hAnsi="Times New Roman"/>
                <w:u w:color="FFFFFF"/>
              </w:rPr>
              <w:t>危废暂存间</w:t>
            </w:r>
            <w:r>
              <w:rPr>
                <w:rFonts w:ascii="Times New Roman" w:hAnsi="Times New Roman"/>
                <w:u w:color="FFFFFF"/>
              </w:rPr>
              <w:t>1</w:t>
            </w:r>
            <w:r>
              <w:rPr>
                <w:rFonts w:ascii="Times New Roman" w:hAnsi="Times New Roman"/>
                <w:u w:color="FFFFFF"/>
              </w:rPr>
              <w:t>南侧（</w:t>
            </w:r>
            <w:r>
              <w:rPr>
                <w:rFonts w:ascii="Times New Roman" w:hAnsi="Times New Roman"/>
                <w:u w:color="FFFFFF"/>
              </w:rPr>
              <w:t>5#</w:t>
            </w:r>
            <w:r>
              <w:rPr>
                <w:rFonts w:ascii="Times New Roman" w:hAnsi="Times New Roman"/>
                <w:u w:color="FFFFFF"/>
              </w:rPr>
              <w:t>库）</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126°36′22.39″</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N 43°55′2.02″</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hAnsi="Times New Roman"/>
                <w:kern w:val="0"/>
              </w:rPr>
            </w:pPr>
            <w:r>
              <w:rPr>
                <w:rStyle w:val="NormalCharacter"/>
                <w:rFonts w:ascii="Times New Roman" w:hAnsi="Times New Roman"/>
                <w:kern w:val="0"/>
              </w:rPr>
              <w:t>紧邻</w:t>
            </w:r>
            <w:r>
              <w:rPr>
                <w:rStyle w:val="NormalCharacter"/>
                <w:rFonts w:ascii="Times New Roman" w:hAnsi="Times New Roman"/>
                <w:kern w:val="0"/>
              </w:rPr>
              <w:t>5#</w:t>
            </w:r>
            <w:r>
              <w:rPr>
                <w:rStyle w:val="NormalCharacter"/>
                <w:rFonts w:ascii="Times New Roman" w:hAnsi="Times New Roman"/>
                <w:kern w:val="0"/>
              </w:rPr>
              <w:t>贮存库</w:t>
            </w:r>
            <w:r>
              <w:rPr>
                <w:rFonts w:ascii="Times New Roman" w:eastAsiaTheme="minorEastAsia" w:hAnsi="Times New Roman"/>
              </w:rPr>
              <w:t>，</w:t>
            </w:r>
            <w:r>
              <w:rPr>
                <w:rStyle w:val="NormalCharacter"/>
                <w:rFonts w:ascii="Times New Roman" w:hAnsi="Times New Roman"/>
                <w:kern w:val="0"/>
              </w:rPr>
              <w:t>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745"/>
          <w:jc w:val="center"/>
        </w:trPr>
        <w:tc>
          <w:tcPr>
            <w:tcW w:w="427"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267" w:type="pct"/>
            <w:tcBorders>
              <w:top w:val="single" w:sz="4" w:space="0" w:color="000000"/>
              <w:left w:val="single" w:sz="4" w:space="0" w:color="auto"/>
              <w:bottom w:val="single" w:sz="4" w:space="0" w:color="auto"/>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BT4</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hAnsi="Times New Roman"/>
                <w:u w:color="FFFFFF"/>
              </w:rPr>
              <w:t>危废暂存间</w:t>
            </w:r>
            <w:r>
              <w:rPr>
                <w:rFonts w:ascii="Times New Roman" w:hAnsi="Times New Roman"/>
                <w:u w:color="FFFFFF"/>
              </w:rPr>
              <w:t>2</w:t>
            </w:r>
            <w:r>
              <w:rPr>
                <w:rFonts w:ascii="Times New Roman" w:hAnsi="Times New Roman"/>
                <w:u w:color="FFFFFF"/>
              </w:rPr>
              <w:t>南侧（</w:t>
            </w:r>
            <w:r>
              <w:rPr>
                <w:rFonts w:ascii="Times New Roman" w:hAnsi="Times New Roman"/>
                <w:u w:color="FFFFFF"/>
              </w:rPr>
              <w:t>6#</w:t>
            </w:r>
            <w:r>
              <w:rPr>
                <w:rFonts w:ascii="Times New Roman" w:hAnsi="Times New Roman"/>
                <w:u w:color="FFFFFF"/>
              </w:rPr>
              <w:t>库）</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126°36′22.44″</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N 43°55′0.58″</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Fonts w:ascii="Times New Roman" w:hAnsi="Times New Roman"/>
              </w:rPr>
            </w:pPr>
            <w:r>
              <w:rPr>
                <w:rStyle w:val="NormalCharacter"/>
                <w:rFonts w:ascii="Times New Roman" w:hAnsi="Times New Roman"/>
                <w:kern w:val="0"/>
              </w:rPr>
              <w:t>紧邻</w:t>
            </w:r>
            <w:r>
              <w:rPr>
                <w:rStyle w:val="NormalCharacter"/>
                <w:rFonts w:ascii="Times New Roman" w:hAnsi="Times New Roman"/>
                <w:kern w:val="0"/>
              </w:rPr>
              <w:t>6#</w:t>
            </w:r>
            <w:r>
              <w:rPr>
                <w:rStyle w:val="NormalCharacter"/>
                <w:rFonts w:ascii="Times New Roman" w:hAnsi="Times New Roman"/>
                <w:kern w:val="0"/>
              </w:rPr>
              <w:t>贮存库</w:t>
            </w:r>
            <w:r>
              <w:rPr>
                <w:rFonts w:ascii="Times New Roman" w:eastAsiaTheme="minorEastAsia" w:hAnsi="Times New Roman"/>
              </w:rPr>
              <w:t>，</w:t>
            </w:r>
            <w:r>
              <w:rPr>
                <w:rStyle w:val="NormalCharacter"/>
                <w:rFonts w:ascii="Times New Roman" w:hAnsi="Times New Roman"/>
                <w:kern w:val="0"/>
              </w:rPr>
              <w:t>捕捉污染物可</w:t>
            </w:r>
            <w:r>
              <w:rPr>
                <w:rStyle w:val="NormalCharacter"/>
                <w:rFonts w:ascii="Times New Roman" w:hAnsi="Times New Roman"/>
                <w:kern w:val="0"/>
              </w:rPr>
              <w:lastRenderedPageBreak/>
              <w:t>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745"/>
          <w:jc w:val="center"/>
        </w:trPr>
        <w:tc>
          <w:tcPr>
            <w:tcW w:w="427" w:type="pct"/>
            <w:vMerge/>
            <w:tcBorders>
              <w:left w:val="single" w:sz="4" w:space="0" w:color="000000"/>
              <w:bottom w:val="single" w:sz="4" w:space="0" w:color="auto"/>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267" w:type="pct"/>
            <w:tcBorders>
              <w:top w:val="single" w:sz="4" w:space="0" w:color="000000"/>
              <w:left w:val="single" w:sz="4" w:space="0" w:color="auto"/>
              <w:bottom w:val="single" w:sz="4" w:space="0" w:color="auto"/>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BT5</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u w:color="FFFFFF"/>
              </w:rPr>
            </w:pPr>
            <w:r>
              <w:rPr>
                <w:rFonts w:ascii="Times New Roman" w:eastAsiaTheme="minorEastAsia" w:hAnsi="Times New Roman"/>
              </w:rPr>
              <w:t>厂区外东南侧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E 126°36′22.54″</w:t>
            </w:r>
            <w:r>
              <w:rPr>
                <w:rFonts w:ascii="Times New Roman" w:eastAsiaTheme="minorEastAsia" w:hAnsi="Times New Roman"/>
              </w:rPr>
              <w:t>，</w:t>
            </w:r>
          </w:p>
          <w:p w:rsidR="002E0378" w:rsidRDefault="005C380A">
            <w:pPr>
              <w:spacing w:line="240" w:lineRule="exact"/>
              <w:ind w:leftChars="-40" w:left="-84" w:rightChars="-40" w:right="-84"/>
              <w:rPr>
                <w:rFonts w:ascii="Times New Roman" w:eastAsiaTheme="minorEastAsia" w:hAnsi="Times New Roman"/>
                <w:u w:color="FFFFFF"/>
              </w:rPr>
            </w:pPr>
            <w:r>
              <w:rPr>
                <w:rFonts w:ascii="Times New Roman" w:eastAsiaTheme="minorEastAsia" w:hAnsi="Times New Roman"/>
              </w:rPr>
              <w:t>N 43°54′56.74″</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Style w:val="NormalCharacter"/>
                <w:rFonts w:ascii="Times New Roman" w:hAnsi="Times New Roman"/>
                <w:kern w:val="0"/>
              </w:rPr>
            </w:pPr>
            <w:r>
              <w:rPr>
                <w:rStyle w:val="NormalCharacter"/>
                <w:rFonts w:ascii="Times New Roman" w:hAnsi="Times New Roman"/>
                <w:kern w:val="0"/>
              </w:rPr>
              <w:t>区域下游，捕捉污染物可能性较大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69"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r w:rsidR="002E0378">
        <w:trPr>
          <w:trHeight w:val="510"/>
          <w:jc w:val="center"/>
        </w:trPr>
        <w:tc>
          <w:tcPr>
            <w:tcW w:w="427" w:type="pct"/>
            <w:tcBorders>
              <w:top w:val="single" w:sz="4" w:space="0" w:color="auto"/>
              <w:left w:val="single" w:sz="4" w:space="0" w:color="000000"/>
              <w:bottom w:val="single" w:sz="4" w:space="0" w:color="auto"/>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C</w:t>
            </w:r>
          </w:p>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污水处理区</w:t>
            </w:r>
          </w:p>
        </w:tc>
        <w:tc>
          <w:tcPr>
            <w:tcW w:w="267" w:type="pct"/>
            <w:tcBorders>
              <w:top w:val="single" w:sz="4" w:space="0" w:color="auto"/>
              <w:left w:val="single" w:sz="4" w:space="0" w:color="auto"/>
              <w:bottom w:val="single" w:sz="4" w:space="0" w:color="auto"/>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CT1</w:t>
            </w:r>
          </w:p>
        </w:tc>
        <w:tc>
          <w:tcPr>
            <w:tcW w:w="598"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污水站南侧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 xml:space="preserve"> E 126°36′19.03″</w:t>
            </w:r>
            <w:r>
              <w:rPr>
                <w:rFonts w:ascii="Times New Roman" w:eastAsiaTheme="minorEastAsia" w:hAnsi="Times New Roman"/>
              </w:rPr>
              <w:t>，</w:t>
            </w:r>
            <w:r>
              <w:rPr>
                <w:rFonts w:ascii="Times New Roman" w:eastAsiaTheme="minorEastAsia" w:hAnsi="Times New Roman"/>
              </w:rPr>
              <w:t>N 43°54′55.78″</w:t>
            </w:r>
          </w:p>
        </w:tc>
        <w:tc>
          <w:tcPr>
            <w:tcW w:w="607" w:type="pct"/>
            <w:tcBorders>
              <w:top w:val="single" w:sz="4" w:space="0" w:color="000000"/>
              <w:left w:val="single" w:sz="4" w:space="0" w:color="000000"/>
              <w:bottom w:val="single" w:sz="4" w:space="0" w:color="000000"/>
              <w:right w:val="single" w:sz="4" w:space="0" w:color="000000"/>
            </w:tcBorders>
            <w:vAlign w:val="center"/>
          </w:tcPr>
          <w:p w:rsidR="002E0378" w:rsidRDefault="005C380A">
            <w:pPr>
              <w:spacing w:line="240" w:lineRule="exact"/>
              <w:rPr>
                <w:rFonts w:ascii="Times New Roman" w:hAnsi="Times New Roman"/>
              </w:rPr>
            </w:pPr>
            <w:r>
              <w:rPr>
                <w:rStyle w:val="NormalCharacter"/>
                <w:rFonts w:ascii="Times New Roman" w:hAnsi="Times New Roman"/>
                <w:kern w:val="0"/>
              </w:rPr>
              <w:t>紧邻污水站</w:t>
            </w:r>
            <w:r>
              <w:rPr>
                <w:rFonts w:ascii="Times New Roman" w:eastAsiaTheme="minorEastAsia" w:hAnsi="Times New Roman"/>
              </w:rPr>
              <w:t>，</w:t>
            </w:r>
            <w:r>
              <w:rPr>
                <w:rStyle w:val="NormalCharacter"/>
                <w:rFonts w:ascii="Times New Roman" w:hAnsi="Times New Roman"/>
                <w:kern w:val="0"/>
              </w:rPr>
              <w:t>捕捉污染物可能性较大</w:t>
            </w:r>
          </w:p>
        </w:tc>
        <w:tc>
          <w:tcPr>
            <w:tcW w:w="633" w:type="pct"/>
            <w:vMerge/>
            <w:tcBorders>
              <w:left w:val="single" w:sz="4" w:space="0" w:color="000000"/>
              <w:right w:val="single" w:sz="4" w:space="0" w:color="auto"/>
            </w:tcBorders>
            <w:vAlign w:val="center"/>
          </w:tcPr>
          <w:p w:rsidR="002E0378" w:rsidRDefault="002E0378">
            <w:pPr>
              <w:spacing w:line="240" w:lineRule="exact"/>
              <w:ind w:leftChars="-40" w:left="-84" w:rightChars="-40" w:right="-84"/>
              <w:rPr>
                <w:rFonts w:ascii="Times New Roman" w:eastAsiaTheme="minorEastAsia" w:hAnsi="Times New Roman"/>
              </w:rPr>
            </w:pPr>
          </w:p>
        </w:tc>
        <w:tc>
          <w:tcPr>
            <w:tcW w:w="675" w:type="pct"/>
            <w:vMerge/>
            <w:tcBorders>
              <w:left w:val="single" w:sz="4" w:space="0" w:color="auto"/>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669" w:type="pct"/>
            <w:vMerge/>
            <w:tcBorders>
              <w:left w:val="single" w:sz="4" w:space="0" w:color="auto"/>
              <w:bottom w:val="single" w:sz="4" w:space="0" w:color="000000"/>
              <w:right w:val="single" w:sz="4" w:space="0" w:color="auto"/>
            </w:tcBorders>
            <w:vAlign w:val="center"/>
          </w:tcPr>
          <w:p w:rsidR="002E0378" w:rsidRDefault="002E0378">
            <w:pPr>
              <w:spacing w:line="240" w:lineRule="exact"/>
              <w:ind w:leftChars="-40" w:left="-84" w:rightChars="-40" w:right="-84"/>
              <w:rPr>
                <w:rFonts w:ascii="Times New Roman" w:hAnsi="Times New Roman"/>
                <w:kern w:val="0"/>
              </w:rPr>
            </w:pPr>
          </w:p>
        </w:tc>
        <w:tc>
          <w:tcPr>
            <w:tcW w:w="552"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ind w:leftChars="-40" w:left="-84" w:rightChars="-40" w:right="-84"/>
              <w:rPr>
                <w:rFonts w:ascii="Times New Roman" w:hAnsi="Times New Roman"/>
                <w:kern w:val="0"/>
              </w:rPr>
            </w:pPr>
            <w:r>
              <w:rPr>
                <w:rFonts w:ascii="Times New Roman" w:hAnsi="Times New Roman"/>
                <w:kern w:val="0"/>
              </w:rPr>
              <w:t>表层样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年；</w:t>
            </w:r>
            <w:r>
              <w:rPr>
                <w:rFonts w:ascii="Times New Roman" w:hAnsi="Times New Roman"/>
                <w:kern w:val="0"/>
              </w:rPr>
              <w:t>深层样</w:t>
            </w: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/3</w:t>
            </w:r>
            <w:r>
              <w:rPr>
                <w:rFonts w:ascii="Times New Roman" w:eastAsiaTheme="minorEastAsia" w:hAnsi="Times New Roman"/>
                <w:kern w:val="0"/>
              </w:rPr>
              <w:t>年</w:t>
            </w:r>
          </w:p>
        </w:tc>
      </w:tr>
    </w:tbl>
    <w:p w:rsidR="002E0378" w:rsidRDefault="002E0378">
      <w:pPr>
        <w:widowControl w:val="0"/>
        <w:spacing w:line="560" w:lineRule="exact"/>
        <w:ind w:firstLineChars="200" w:firstLine="480"/>
        <w:rPr>
          <w:rFonts w:ascii="Times New Roman" w:hAnsi="Times New Roman"/>
          <w:sz w:val="24"/>
          <w:szCs w:val="24"/>
        </w:rPr>
      </w:pPr>
    </w:p>
    <w:p w:rsidR="002E0378" w:rsidRDefault="002E0378" w:rsidP="0090536A">
      <w:pPr>
        <w:pStyle w:val="20"/>
        <w:ind w:left="420"/>
        <w:rPr>
          <w:szCs w:val="24"/>
        </w:rPr>
      </w:pPr>
    </w:p>
    <w:p w:rsidR="002E0378" w:rsidRDefault="005C380A">
      <w:r>
        <w:rPr>
          <w:noProof/>
        </w:rPr>
        <w:drawing>
          <wp:inline distT="0" distB="0" distL="114300" distR="114300">
            <wp:extent cx="5269865" cy="3068320"/>
            <wp:effectExtent l="0" t="0" r="6985" b="1778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45"/>
                    <a:stretch>
                      <a:fillRect/>
                    </a:stretch>
                  </pic:blipFill>
                  <pic:spPr>
                    <a:xfrm>
                      <a:off x="0" y="0"/>
                      <a:ext cx="5269865" cy="3068320"/>
                    </a:xfrm>
                    <a:prstGeom prst="rect">
                      <a:avLst/>
                    </a:prstGeom>
                    <a:noFill/>
                    <a:ln>
                      <a:noFill/>
                    </a:ln>
                  </pic:spPr>
                </pic:pic>
              </a:graphicData>
            </a:graphic>
          </wp:inline>
        </w:drawing>
      </w:r>
    </w:p>
    <w:p w:rsidR="002E0378" w:rsidRDefault="002E0378" w:rsidP="0090536A">
      <w:pPr>
        <w:pStyle w:val="20"/>
        <w:ind w:left="420"/>
      </w:pPr>
    </w:p>
    <w:p w:rsidR="002E0378" w:rsidRDefault="005C380A">
      <w:pPr>
        <w:rPr>
          <w:rFonts w:ascii="Times New Roman" w:hAnsi="Times New Roman" w:cs="宋体"/>
          <w:b/>
          <w:bCs/>
          <w:color w:val="000000"/>
          <w:kern w:val="0"/>
          <w:sz w:val="24"/>
          <w:szCs w:val="32"/>
        </w:rPr>
      </w:pPr>
      <w:r>
        <w:rPr>
          <w:rFonts w:ascii="Times New Roman" w:hAnsi="Times New Roman" w:cs="宋体" w:hint="eastAsia"/>
          <w:b/>
          <w:bCs/>
          <w:color w:val="000000"/>
          <w:kern w:val="0"/>
          <w:sz w:val="24"/>
          <w:szCs w:val="32"/>
        </w:rPr>
        <w:t>图</w:t>
      </w:r>
      <w:r>
        <w:rPr>
          <w:rFonts w:ascii="Times New Roman" w:hAnsi="Times New Roman" w:cs="宋体" w:hint="eastAsia"/>
          <w:b/>
          <w:bCs/>
          <w:color w:val="000000"/>
          <w:kern w:val="0"/>
          <w:sz w:val="24"/>
          <w:szCs w:val="32"/>
        </w:rPr>
        <w:t xml:space="preserve">5-1 </w:t>
      </w:r>
      <w:r>
        <w:rPr>
          <w:rFonts w:ascii="Times New Roman" w:hAnsi="Times New Roman" w:cs="宋体" w:hint="eastAsia"/>
          <w:b/>
          <w:bCs/>
          <w:color w:val="000000"/>
          <w:kern w:val="0"/>
          <w:sz w:val="24"/>
          <w:szCs w:val="32"/>
        </w:rPr>
        <w:t>土壤采样点示意图</w:t>
      </w:r>
    </w:p>
    <w:p w:rsidR="002E0378" w:rsidRDefault="002E0378">
      <w:pPr>
        <w:pStyle w:val="20"/>
        <w:spacing w:line="240" w:lineRule="auto"/>
        <w:ind w:leftChars="0" w:left="0"/>
      </w:pPr>
    </w:p>
    <w:p w:rsidR="002E0378" w:rsidRDefault="005C380A">
      <w:pPr>
        <w:pStyle w:val="20"/>
        <w:ind w:left="420"/>
      </w:pPr>
      <w:r>
        <w:rPr>
          <w:rFonts w:hint="eastAsia"/>
        </w:rPr>
        <w:t>2</w:t>
      </w:r>
      <w:r>
        <w:rPr>
          <w:rFonts w:hint="eastAsia"/>
        </w:rPr>
        <w:t>、地下水采样点布设</w:t>
      </w:r>
    </w:p>
    <w:p w:rsidR="002E0378" w:rsidRDefault="005C380A">
      <w:pPr>
        <w:pStyle w:val="WPSOffice1"/>
        <w:tabs>
          <w:tab w:val="right" w:leader="dot" w:pos="8306"/>
        </w:tabs>
        <w:spacing w:line="460" w:lineRule="exact"/>
        <w:ind w:firstLineChars="200" w:firstLine="480"/>
        <w:rPr>
          <w:sz w:val="24"/>
          <w:szCs w:val="32"/>
        </w:rPr>
      </w:pPr>
      <w:r>
        <w:rPr>
          <w:rFonts w:hint="eastAsia"/>
          <w:sz w:val="24"/>
          <w:szCs w:val="32"/>
        </w:rPr>
        <w:t>根据</w:t>
      </w:r>
      <w:r>
        <w:rPr>
          <w:sz w:val="24"/>
          <w:szCs w:val="32"/>
        </w:rPr>
        <w:t>区域地下水流向，结合企业相关防渗等级及技术，本次共布设</w:t>
      </w:r>
      <w:r>
        <w:rPr>
          <w:sz w:val="24"/>
          <w:szCs w:val="32"/>
        </w:rPr>
        <w:t>3</w:t>
      </w:r>
      <w:r>
        <w:rPr>
          <w:sz w:val="24"/>
          <w:szCs w:val="32"/>
        </w:rPr>
        <w:t>个地下水监测点位。</w:t>
      </w:r>
    </w:p>
    <w:p w:rsidR="002E0378" w:rsidRDefault="005C380A">
      <w:pPr>
        <w:pStyle w:val="WPSOffice1"/>
        <w:widowControl w:val="0"/>
        <w:tabs>
          <w:tab w:val="right" w:leader="dot" w:pos="8306"/>
        </w:tabs>
        <w:spacing w:line="460" w:lineRule="exact"/>
        <w:ind w:firstLineChars="200" w:firstLine="480"/>
        <w:rPr>
          <w:sz w:val="24"/>
          <w:szCs w:val="32"/>
        </w:rPr>
      </w:pPr>
      <w:r>
        <w:rPr>
          <w:sz w:val="24"/>
          <w:szCs w:val="32"/>
        </w:rPr>
        <w:t>地下水对照井（</w:t>
      </w:r>
      <w:r>
        <w:rPr>
          <w:sz w:val="24"/>
          <w:szCs w:val="32"/>
        </w:rPr>
        <w:t>WS1</w:t>
      </w:r>
      <w:r>
        <w:rPr>
          <w:sz w:val="24"/>
          <w:szCs w:val="32"/>
        </w:rPr>
        <w:t>）：布设于厂区西北侧，为厂区地下水上游方向，现有井。</w:t>
      </w:r>
    </w:p>
    <w:p w:rsidR="002E0378" w:rsidRDefault="005C380A">
      <w:pPr>
        <w:pStyle w:val="WPSOffice1"/>
        <w:widowControl w:val="0"/>
        <w:tabs>
          <w:tab w:val="right" w:leader="dot" w:pos="8306"/>
        </w:tabs>
        <w:spacing w:line="460" w:lineRule="exact"/>
        <w:ind w:firstLineChars="200" w:firstLine="480"/>
        <w:rPr>
          <w:sz w:val="24"/>
          <w:szCs w:val="32"/>
        </w:rPr>
      </w:pPr>
      <w:r>
        <w:rPr>
          <w:sz w:val="24"/>
          <w:szCs w:val="32"/>
        </w:rPr>
        <w:t>A/B</w:t>
      </w:r>
      <w:r>
        <w:rPr>
          <w:sz w:val="24"/>
          <w:szCs w:val="32"/>
        </w:rPr>
        <w:t>区（</w:t>
      </w:r>
      <w:r>
        <w:rPr>
          <w:sz w:val="24"/>
          <w:szCs w:val="32"/>
        </w:rPr>
        <w:t>A/BS1</w:t>
      </w:r>
      <w:r>
        <w:rPr>
          <w:sz w:val="24"/>
          <w:szCs w:val="32"/>
        </w:rPr>
        <w:t>）：在该区域地下水下游，渗滤液收集池南侧，现有井。</w:t>
      </w:r>
    </w:p>
    <w:p w:rsidR="002E0378" w:rsidRDefault="005C380A">
      <w:pPr>
        <w:pStyle w:val="WPSOffice1"/>
        <w:widowControl w:val="0"/>
        <w:tabs>
          <w:tab w:val="right" w:leader="dot" w:pos="8306"/>
        </w:tabs>
        <w:spacing w:line="460" w:lineRule="exact"/>
        <w:ind w:firstLineChars="200" w:firstLine="480"/>
        <w:rPr>
          <w:sz w:val="24"/>
          <w:szCs w:val="32"/>
        </w:rPr>
      </w:pPr>
      <w:r>
        <w:rPr>
          <w:sz w:val="24"/>
          <w:szCs w:val="32"/>
        </w:rPr>
        <w:t>C</w:t>
      </w:r>
      <w:r>
        <w:rPr>
          <w:sz w:val="24"/>
          <w:szCs w:val="32"/>
        </w:rPr>
        <w:t>区（</w:t>
      </w:r>
      <w:r>
        <w:rPr>
          <w:sz w:val="24"/>
          <w:szCs w:val="32"/>
        </w:rPr>
        <w:t>CS2</w:t>
      </w:r>
      <w:r>
        <w:rPr>
          <w:sz w:val="24"/>
          <w:szCs w:val="32"/>
        </w:rPr>
        <w:t>）：在本项目占地范围外，厂区地下水下游，现有井。</w:t>
      </w:r>
    </w:p>
    <w:p w:rsidR="002E0378" w:rsidRDefault="005C380A">
      <w:pPr>
        <w:pStyle w:val="a4"/>
        <w:ind w:firstLine="480"/>
      </w:pPr>
      <w:r>
        <w:rPr>
          <w:rFonts w:cs="Times New Roman"/>
          <w:szCs w:val="32"/>
        </w:rPr>
        <w:t>自行监测调查均为潜水。</w:t>
      </w:r>
      <w:r>
        <w:rPr>
          <w:rFonts w:hint="eastAsia"/>
        </w:rPr>
        <w:t>设置情况见下表及下图。</w:t>
      </w:r>
    </w:p>
    <w:p w:rsidR="002E0378" w:rsidRDefault="005C380A">
      <w:pPr>
        <w:widowControl w:val="0"/>
        <w:spacing w:line="560" w:lineRule="exact"/>
        <w:rPr>
          <w:rFonts w:ascii="Times New Roman" w:hAnsi="Times New Roman"/>
          <w:sz w:val="24"/>
          <w:szCs w:val="24"/>
        </w:rPr>
      </w:pPr>
      <w:r>
        <w:rPr>
          <w:rFonts w:ascii="Times New Roman" w:hAnsi="Times New Roman"/>
          <w:b/>
          <w:bCs/>
          <w:sz w:val="24"/>
          <w:szCs w:val="24"/>
        </w:rPr>
        <w:lastRenderedPageBreak/>
        <w:t>表</w:t>
      </w:r>
      <w:r>
        <w:rPr>
          <w:rFonts w:ascii="Times New Roman" w:hAnsi="Times New Roman" w:hint="eastAsia"/>
          <w:b/>
          <w:bCs/>
          <w:sz w:val="24"/>
          <w:szCs w:val="24"/>
        </w:rPr>
        <w:t>5-2</w:t>
      </w:r>
      <w:r>
        <w:rPr>
          <w:rFonts w:ascii="Times New Roman" w:hAnsi="Times New Roman"/>
          <w:b/>
          <w:bCs/>
          <w:sz w:val="24"/>
          <w:szCs w:val="24"/>
        </w:rPr>
        <w:t xml:space="preserve">  </w:t>
      </w:r>
      <w:r>
        <w:rPr>
          <w:rFonts w:ascii="Times New Roman" w:hAnsi="Times New Roman"/>
          <w:b/>
          <w:bCs/>
          <w:sz w:val="24"/>
          <w:szCs w:val="24"/>
        </w:rPr>
        <w:t>地下水布点方案表</w:t>
      </w:r>
    </w:p>
    <w:p w:rsidR="002E0378" w:rsidRDefault="002E0378">
      <w:pPr>
        <w:rPr>
          <w:rFonts w:ascii="宋体" w:hAnsi="宋体" w:cs="宋体"/>
        </w:rPr>
      </w:pPr>
    </w:p>
    <w:tbl>
      <w:tblPr>
        <w:tblW w:w="59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1"/>
        <w:gridCol w:w="487"/>
        <w:gridCol w:w="1131"/>
        <w:gridCol w:w="1584"/>
        <w:gridCol w:w="1831"/>
        <w:gridCol w:w="1725"/>
        <w:gridCol w:w="1806"/>
        <w:gridCol w:w="759"/>
      </w:tblGrid>
      <w:tr w:rsidR="002E0378">
        <w:trPr>
          <w:trHeight w:val="636"/>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2E0378" w:rsidRDefault="005C380A">
            <w:pPr>
              <w:rPr>
                <w:rFonts w:ascii="Times New Roman" w:hAnsi="Times New Roman"/>
                <w:b/>
                <w:kern w:val="0"/>
              </w:rPr>
            </w:pPr>
            <w:r>
              <w:rPr>
                <w:rStyle w:val="NormalCharacter"/>
                <w:rFonts w:ascii="Times New Roman" w:eastAsiaTheme="minorEastAsia" w:hAnsi="Times New Roman"/>
                <w:b/>
                <w:kern w:val="0"/>
              </w:rPr>
              <w:t>布点区域</w:t>
            </w:r>
          </w:p>
        </w:tc>
        <w:tc>
          <w:tcPr>
            <w:tcW w:w="241" w:type="pct"/>
            <w:tcBorders>
              <w:top w:val="single" w:sz="4" w:space="0" w:color="000000"/>
              <w:left w:val="single" w:sz="4" w:space="0" w:color="auto"/>
              <w:bottom w:val="single" w:sz="4" w:space="0" w:color="000000"/>
              <w:right w:val="single" w:sz="4" w:space="0" w:color="000000"/>
            </w:tcBorders>
            <w:vAlign w:val="center"/>
          </w:tcPr>
          <w:p w:rsidR="002E0378" w:rsidRDefault="005C380A">
            <w:pPr>
              <w:rPr>
                <w:rStyle w:val="NormalCharacter"/>
                <w:rFonts w:ascii="Times New Roman" w:eastAsiaTheme="minorEastAsia" w:hAnsi="Times New Roman"/>
                <w:b/>
                <w:kern w:val="0"/>
              </w:rPr>
            </w:pPr>
            <w:r>
              <w:rPr>
                <w:rStyle w:val="NormalCharacter"/>
                <w:rFonts w:ascii="Times New Roman" w:eastAsiaTheme="minorEastAsia" w:hAnsi="Times New Roman"/>
                <w:b/>
                <w:kern w:val="0"/>
              </w:rPr>
              <w:t>编号</w:t>
            </w:r>
          </w:p>
        </w:tc>
        <w:tc>
          <w:tcPr>
            <w:tcW w:w="559" w:type="pct"/>
            <w:tcBorders>
              <w:top w:val="single" w:sz="4" w:space="0" w:color="000000"/>
              <w:left w:val="single" w:sz="4" w:space="0" w:color="000000"/>
              <w:bottom w:val="single" w:sz="4" w:space="0" w:color="000000"/>
              <w:right w:val="single" w:sz="4" w:space="0" w:color="000000"/>
            </w:tcBorders>
            <w:vAlign w:val="center"/>
          </w:tcPr>
          <w:p w:rsidR="002E0378" w:rsidRDefault="005C380A">
            <w:pPr>
              <w:rPr>
                <w:rFonts w:ascii="Times New Roman" w:eastAsiaTheme="minorEastAsia" w:hAnsi="Times New Roman"/>
                <w:b/>
                <w:kern w:val="0"/>
              </w:rPr>
            </w:pPr>
            <w:r>
              <w:rPr>
                <w:rStyle w:val="NormalCharacter"/>
                <w:rFonts w:ascii="Times New Roman" w:eastAsiaTheme="minorEastAsia" w:hAnsi="Times New Roman"/>
                <w:b/>
                <w:kern w:val="0"/>
              </w:rPr>
              <w:t>布点位置</w:t>
            </w:r>
          </w:p>
        </w:tc>
        <w:tc>
          <w:tcPr>
            <w:tcW w:w="783" w:type="pct"/>
            <w:tcBorders>
              <w:top w:val="single" w:sz="4" w:space="0" w:color="000000"/>
              <w:left w:val="single" w:sz="4" w:space="0" w:color="000000"/>
              <w:bottom w:val="single" w:sz="4" w:space="0" w:color="000000"/>
              <w:right w:val="single" w:sz="4" w:space="0" w:color="000000"/>
            </w:tcBorders>
            <w:vAlign w:val="center"/>
          </w:tcPr>
          <w:p w:rsidR="002E0378" w:rsidRDefault="005C380A">
            <w:pPr>
              <w:rPr>
                <w:rFonts w:ascii="Times New Roman" w:eastAsiaTheme="minorEastAsia" w:hAnsi="Times New Roman"/>
                <w:b/>
                <w:kern w:val="0"/>
              </w:rPr>
            </w:pPr>
            <w:r>
              <w:rPr>
                <w:rFonts w:ascii="Times New Roman" w:eastAsiaTheme="minorEastAsia" w:hAnsi="Times New Roman"/>
                <w:b/>
                <w:bCs/>
              </w:rPr>
              <w:t>坐标</w:t>
            </w:r>
          </w:p>
        </w:tc>
        <w:tc>
          <w:tcPr>
            <w:tcW w:w="904" w:type="pct"/>
            <w:tcBorders>
              <w:top w:val="single" w:sz="4" w:space="0" w:color="000000"/>
              <w:left w:val="single" w:sz="4" w:space="0" w:color="000000"/>
              <w:bottom w:val="single" w:sz="4" w:space="0" w:color="000000"/>
              <w:right w:val="single" w:sz="4" w:space="0" w:color="auto"/>
            </w:tcBorders>
            <w:vAlign w:val="center"/>
          </w:tcPr>
          <w:p w:rsidR="002E0378" w:rsidRDefault="005C380A">
            <w:pPr>
              <w:rPr>
                <w:rFonts w:ascii="Times New Roman" w:eastAsiaTheme="minorEastAsia" w:hAnsi="Times New Roman"/>
                <w:kern w:val="0"/>
              </w:rPr>
            </w:pPr>
            <w:r>
              <w:rPr>
                <w:rStyle w:val="NormalCharacter"/>
                <w:rFonts w:ascii="Times New Roman" w:eastAsiaTheme="minorEastAsia" w:hAnsi="Times New Roman"/>
                <w:b/>
                <w:kern w:val="0"/>
              </w:rPr>
              <w:t>布点位置确定理由</w:t>
            </w:r>
          </w:p>
        </w:tc>
        <w:tc>
          <w:tcPr>
            <w:tcW w:w="852" w:type="pct"/>
            <w:tcBorders>
              <w:top w:val="single" w:sz="4" w:space="0" w:color="000000"/>
              <w:left w:val="single" w:sz="4" w:space="0" w:color="auto"/>
              <w:bottom w:val="single" w:sz="4" w:space="0" w:color="000000"/>
              <w:right w:val="single" w:sz="4" w:space="0" w:color="auto"/>
            </w:tcBorders>
            <w:vAlign w:val="center"/>
          </w:tcPr>
          <w:p w:rsidR="002E0378" w:rsidRDefault="005C380A">
            <w:pPr>
              <w:spacing w:line="240" w:lineRule="exact"/>
              <w:rPr>
                <w:rFonts w:ascii="Times New Roman" w:eastAsiaTheme="minorEastAsia" w:hAnsi="Times New Roman"/>
                <w:b/>
                <w:kern w:val="0"/>
              </w:rPr>
            </w:pPr>
            <w:r>
              <w:rPr>
                <w:rStyle w:val="NormalCharacter"/>
                <w:rFonts w:ascii="Times New Roman" w:eastAsiaTheme="minorEastAsia" w:hAnsi="Times New Roman"/>
                <w:b/>
                <w:kern w:val="0"/>
              </w:rPr>
              <w:t>监测指标</w:t>
            </w:r>
          </w:p>
        </w:tc>
        <w:tc>
          <w:tcPr>
            <w:tcW w:w="892" w:type="pct"/>
            <w:tcBorders>
              <w:top w:val="single" w:sz="4" w:space="0" w:color="000000"/>
              <w:left w:val="single" w:sz="4" w:space="0" w:color="auto"/>
              <w:bottom w:val="single" w:sz="4" w:space="0" w:color="000000"/>
              <w:right w:val="single" w:sz="4" w:space="0" w:color="auto"/>
            </w:tcBorders>
            <w:vAlign w:val="center"/>
          </w:tcPr>
          <w:p w:rsidR="002E0378" w:rsidRDefault="005C380A">
            <w:pPr>
              <w:spacing w:line="240" w:lineRule="exact"/>
              <w:rPr>
                <w:rFonts w:ascii="Times New Roman" w:eastAsiaTheme="minorEastAsia" w:hAnsi="Times New Roman"/>
                <w:b/>
                <w:kern w:val="0"/>
              </w:rPr>
            </w:pPr>
            <w:r>
              <w:rPr>
                <w:rStyle w:val="NormalCharacter"/>
                <w:rFonts w:ascii="Times New Roman" w:eastAsiaTheme="minorEastAsia" w:hAnsi="Times New Roman"/>
                <w:b/>
                <w:kern w:val="0"/>
              </w:rPr>
              <w:t>本次监测</w:t>
            </w:r>
          </w:p>
        </w:tc>
        <w:tc>
          <w:tcPr>
            <w:tcW w:w="375" w:type="pct"/>
            <w:tcBorders>
              <w:top w:val="single" w:sz="4" w:space="0" w:color="000000"/>
              <w:left w:val="single" w:sz="4" w:space="0" w:color="auto"/>
              <w:bottom w:val="single" w:sz="4" w:space="0" w:color="000000"/>
              <w:right w:val="single" w:sz="4" w:space="0" w:color="000000"/>
            </w:tcBorders>
            <w:vAlign w:val="center"/>
          </w:tcPr>
          <w:p w:rsidR="002E0378" w:rsidRDefault="005C380A">
            <w:pPr>
              <w:spacing w:line="240" w:lineRule="exact"/>
              <w:rPr>
                <w:rStyle w:val="NormalCharacter"/>
                <w:rFonts w:ascii="Times New Roman" w:eastAsiaTheme="minorEastAsia" w:hAnsi="Times New Roman"/>
                <w:b/>
                <w:kern w:val="0"/>
              </w:rPr>
            </w:pPr>
            <w:r>
              <w:rPr>
                <w:rStyle w:val="NormalCharacter"/>
                <w:rFonts w:ascii="Times New Roman" w:eastAsiaTheme="minorEastAsia" w:hAnsi="Times New Roman"/>
                <w:b/>
                <w:kern w:val="0"/>
              </w:rPr>
              <w:t>监测频次</w:t>
            </w:r>
          </w:p>
        </w:tc>
      </w:tr>
      <w:tr w:rsidR="002E0378">
        <w:trPr>
          <w:trHeight w:val="1590"/>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2E0378" w:rsidRDefault="005C380A">
            <w:pPr>
              <w:rPr>
                <w:rFonts w:ascii="Times New Roman" w:hAnsi="Times New Roman"/>
                <w:kern w:val="0"/>
              </w:rPr>
            </w:pPr>
            <w:r>
              <w:rPr>
                <w:rFonts w:ascii="Times New Roman" w:hAnsi="Times New Roman"/>
                <w:kern w:val="0"/>
              </w:rPr>
              <w:t>对照井</w:t>
            </w:r>
          </w:p>
        </w:tc>
        <w:tc>
          <w:tcPr>
            <w:tcW w:w="241" w:type="pct"/>
            <w:tcBorders>
              <w:top w:val="single" w:sz="4" w:space="0" w:color="000000"/>
              <w:left w:val="single" w:sz="4" w:space="0" w:color="auto"/>
              <w:bottom w:val="single" w:sz="4" w:space="0" w:color="000000"/>
              <w:right w:val="single" w:sz="4" w:space="0" w:color="000000"/>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WS1</w:t>
            </w:r>
          </w:p>
        </w:tc>
        <w:tc>
          <w:tcPr>
            <w:tcW w:w="559" w:type="pct"/>
            <w:tcBorders>
              <w:top w:val="single" w:sz="4" w:space="0" w:color="000000"/>
              <w:left w:val="single" w:sz="4" w:space="0" w:color="000000"/>
              <w:bottom w:val="single" w:sz="4" w:space="0" w:color="000000"/>
              <w:right w:val="single" w:sz="4" w:space="0" w:color="000000"/>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厂区上游位置</w:t>
            </w:r>
          </w:p>
        </w:tc>
        <w:tc>
          <w:tcPr>
            <w:tcW w:w="783" w:type="pct"/>
            <w:tcBorders>
              <w:top w:val="single" w:sz="4" w:space="0" w:color="000000"/>
              <w:left w:val="single" w:sz="4" w:space="0" w:color="000000"/>
              <w:bottom w:val="single" w:sz="4" w:space="0" w:color="000000"/>
              <w:right w:val="single" w:sz="4" w:space="0" w:color="000000"/>
            </w:tcBorders>
            <w:vAlign w:val="center"/>
          </w:tcPr>
          <w:p w:rsidR="002E0378" w:rsidRDefault="005C380A">
            <w:pPr>
              <w:rPr>
                <w:rFonts w:ascii="Times New Roman" w:hAnsi="Times New Roman"/>
              </w:rPr>
            </w:pPr>
            <w:r>
              <w:rPr>
                <w:rFonts w:ascii="Times New Roman" w:hAnsi="Times New Roman"/>
              </w:rPr>
              <w:t>E126°36′12.81″</w:t>
            </w:r>
          </w:p>
          <w:p w:rsidR="002E0378" w:rsidRDefault="005C380A">
            <w:pPr>
              <w:rPr>
                <w:rFonts w:ascii="Times New Roman" w:eastAsiaTheme="minorEastAsia" w:hAnsi="Times New Roman"/>
              </w:rPr>
            </w:pPr>
            <w:r>
              <w:rPr>
                <w:rFonts w:ascii="Times New Roman" w:hAnsi="Times New Roman"/>
              </w:rPr>
              <w:t>N 43°55′15.3″</w:t>
            </w:r>
          </w:p>
        </w:tc>
        <w:tc>
          <w:tcPr>
            <w:tcW w:w="904" w:type="pct"/>
            <w:tcBorders>
              <w:top w:val="single" w:sz="4" w:space="0" w:color="000000"/>
              <w:left w:val="single" w:sz="4" w:space="0" w:color="000000"/>
              <w:bottom w:val="single" w:sz="4" w:space="0" w:color="000000"/>
              <w:right w:val="single" w:sz="4" w:space="0" w:color="auto"/>
            </w:tcBorders>
            <w:vAlign w:val="center"/>
          </w:tcPr>
          <w:p w:rsidR="002E0378" w:rsidRDefault="005C380A">
            <w:pPr>
              <w:rPr>
                <w:rFonts w:ascii="Times New Roman" w:eastAsiaTheme="minorEastAsia" w:hAnsi="Times New Roman"/>
              </w:rPr>
            </w:pPr>
            <w:r>
              <w:rPr>
                <w:rFonts w:ascii="Times New Roman" w:eastAsiaTheme="minorEastAsia" w:hAnsi="Times New Roman"/>
              </w:rPr>
              <w:t>能确认企业上游地下水水质情况</w:t>
            </w:r>
          </w:p>
        </w:tc>
        <w:tc>
          <w:tcPr>
            <w:tcW w:w="852" w:type="pct"/>
            <w:vMerge w:val="restart"/>
            <w:tcBorders>
              <w:top w:val="single" w:sz="4" w:space="0" w:color="000000"/>
              <w:left w:val="single" w:sz="4" w:space="0" w:color="auto"/>
              <w:right w:val="single" w:sz="4" w:space="0" w:color="auto"/>
            </w:tcBorders>
            <w:vAlign w:val="center"/>
          </w:tcPr>
          <w:p w:rsidR="002E0378" w:rsidRDefault="005C380A">
            <w:pPr>
              <w:rPr>
                <w:rFonts w:ascii="Times New Roman" w:eastAsiaTheme="minorEastAsia" w:hAnsi="Times New Roman"/>
              </w:rPr>
            </w:pPr>
            <w:r>
              <w:rPr>
                <w:rFonts w:ascii="Times New Roman" w:eastAsiaTheme="minorEastAsia" w:hAnsi="Times New Roman"/>
              </w:rPr>
              <w:t>浑浊度、</w:t>
            </w:r>
            <w:r>
              <w:rPr>
                <w:rFonts w:ascii="Times New Roman" w:eastAsiaTheme="minorEastAsia" w:hAnsi="Times New Roman"/>
              </w:rPr>
              <w:t>pH</w:t>
            </w:r>
            <w:r>
              <w:rPr>
                <w:rFonts w:ascii="Times New Roman" w:eastAsiaTheme="minorEastAsia" w:hAnsi="Times New Roman"/>
              </w:rPr>
              <w:t>、总硬度、溶解性总固体、化学需氧量、氯化物（以</w:t>
            </w:r>
            <w:r>
              <w:rPr>
                <w:rFonts w:ascii="Times New Roman" w:eastAsiaTheme="minorEastAsia" w:hAnsi="Times New Roman"/>
              </w:rPr>
              <w:t>Cl-</w:t>
            </w:r>
            <w:r>
              <w:rPr>
                <w:rFonts w:ascii="Times New Roman" w:eastAsiaTheme="minorEastAsia" w:hAnsi="Times New Roman"/>
              </w:rPr>
              <w:t>计）、氨氮、挥发酚、硝酸盐（以</w:t>
            </w:r>
            <w:r>
              <w:rPr>
                <w:rFonts w:ascii="Times New Roman" w:eastAsiaTheme="minorEastAsia" w:hAnsi="Times New Roman"/>
              </w:rPr>
              <w:t>N</w:t>
            </w:r>
            <w:r>
              <w:rPr>
                <w:rFonts w:ascii="Times New Roman" w:eastAsiaTheme="minorEastAsia" w:hAnsi="Times New Roman"/>
              </w:rPr>
              <w:t>计）、亚硝酸盐（以</w:t>
            </w:r>
            <w:r>
              <w:rPr>
                <w:rFonts w:ascii="Times New Roman" w:eastAsiaTheme="minorEastAsia" w:hAnsi="Times New Roman"/>
              </w:rPr>
              <w:t>N</w:t>
            </w:r>
            <w:r>
              <w:rPr>
                <w:rFonts w:ascii="Times New Roman" w:eastAsiaTheme="minorEastAsia" w:hAnsi="Times New Roman"/>
              </w:rPr>
              <w:t>计）、氟化物（以</w:t>
            </w:r>
            <w:r>
              <w:rPr>
                <w:rFonts w:ascii="Times New Roman" w:eastAsiaTheme="minorEastAsia" w:hAnsi="Times New Roman"/>
              </w:rPr>
              <w:t>F-</w:t>
            </w:r>
            <w:r>
              <w:rPr>
                <w:rFonts w:ascii="Times New Roman" w:eastAsiaTheme="minorEastAsia" w:hAnsi="Times New Roman"/>
              </w:rPr>
              <w:t>计）、铁、锰、铜、锌、镉、铅、镍、汞、砷、六价铬、石油类</w:t>
            </w:r>
            <w:r>
              <w:rPr>
                <w:rFonts w:eastAsiaTheme="minorEastAsia" w:hint="eastAsia"/>
              </w:rPr>
              <w:t>、总大肠菌群</w:t>
            </w:r>
          </w:p>
        </w:tc>
        <w:tc>
          <w:tcPr>
            <w:tcW w:w="892" w:type="pct"/>
            <w:vMerge w:val="restart"/>
            <w:tcBorders>
              <w:top w:val="single" w:sz="4" w:space="0" w:color="000000"/>
              <w:left w:val="single" w:sz="4" w:space="0" w:color="auto"/>
              <w:right w:val="single" w:sz="4" w:space="0" w:color="auto"/>
            </w:tcBorders>
            <w:vAlign w:val="center"/>
          </w:tcPr>
          <w:p w:rsidR="002E0378" w:rsidRDefault="005C380A">
            <w:pPr>
              <w:rPr>
                <w:rFonts w:ascii="Times New Roman" w:eastAsiaTheme="minorEastAsia" w:hAnsi="Times New Roman"/>
              </w:rPr>
            </w:pPr>
            <w:r>
              <w:rPr>
                <w:rFonts w:ascii="Times New Roman" w:eastAsiaTheme="minorEastAsia" w:hAnsi="Times New Roman"/>
              </w:rPr>
              <w:t>浑浊度、</w:t>
            </w:r>
            <w:r>
              <w:rPr>
                <w:rFonts w:ascii="Times New Roman" w:eastAsiaTheme="minorEastAsia" w:hAnsi="Times New Roman"/>
              </w:rPr>
              <w:t>pH</w:t>
            </w:r>
            <w:r>
              <w:rPr>
                <w:rFonts w:ascii="Times New Roman" w:eastAsiaTheme="minorEastAsia" w:hAnsi="Times New Roman"/>
              </w:rPr>
              <w:t>、总硬度、溶解性总固体、化学需氧量、氯化物（以</w:t>
            </w:r>
            <w:r>
              <w:rPr>
                <w:rFonts w:ascii="Times New Roman" w:eastAsiaTheme="minorEastAsia" w:hAnsi="Times New Roman"/>
              </w:rPr>
              <w:t>Cl-</w:t>
            </w:r>
            <w:r>
              <w:rPr>
                <w:rFonts w:ascii="Times New Roman" w:eastAsiaTheme="minorEastAsia" w:hAnsi="Times New Roman"/>
              </w:rPr>
              <w:t>计）、氨氮、挥发酚、硝酸盐（以</w:t>
            </w:r>
            <w:r>
              <w:rPr>
                <w:rFonts w:ascii="Times New Roman" w:eastAsiaTheme="minorEastAsia" w:hAnsi="Times New Roman"/>
              </w:rPr>
              <w:t>N</w:t>
            </w:r>
            <w:r>
              <w:rPr>
                <w:rFonts w:ascii="Times New Roman" w:eastAsiaTheme="minorEastAsia" w:hAnsi="Times New Roman"/>
              </w:rPr>
              <w:t>计）、亚硝酸盐（以</w:t>
            </w:r>
            <w:r>
              <w:rPr>
                <w:rFonts w:ascii="Times New Roman" w:eastAsiaTheme="minorEastAsia" w:hAnsi="Times New Roman"/>
              </w:rPr>
              <w:t>N</w:t>
            </w:r>
            <w:r>
              <w:rPr>
                <w:rFonts w:ascii="Times New Roman" w:eastAsiaTheme="minorEastAsia" w:hAnsi="Times New Roman"/>
              </w:rPr>
              <w:t>计）、氟化物（以</w:t>
            </w:r>
            <w:r>
              <w:rPr>
                <w:rFonts w:ascii="Times New Roman" w:eastAsiaTheme="minorEastAsia" w:hAnsi="Times New Roman"/>
              </w:rPr>
              <w:t>F-</w:t>
            </w:r>
            <w:r>
              <w:rPr>
                <w:rFonts w:ascii="Times New Roman" w:eastAsiaTheme="minorEastAsia" w:hAnsi="Times New Roman"/>
              </w:rPr>
              <w:t>计）、铁、锰、铜、锌、镉、铅、镍、汞、砷、六价铬、石油类</w:t>
            </w:r>
            <w:r>
              <w:rPr>
                <w:rFonts w:eastAsiaTheme="minorEastAsia" w:hint="eastAsia"/>
              </w:rPr>
              <w:t>、总大肠菌群</w:t>
            </w:r>
          </w:p>
        </w:tc>
        <w:tc>
          <w:tcPr>
            <w:tcW w:w="375" w:type="pct"/>
            <w:tcBorders>
              <w:top w:val="single" w:sz="4" w:space="0" w:color="000000"/>
              <w:left w:val="single" w:sz="4" w:space="0" w:color="auto"/>
              <w:bottom w:val="single" w:sz="4" w:space="0" w:color="000000"/>
              <w:right w:val="single" w:sz="4" w:space="0" w:color="000000"/>
            </w:tcBorders>
            <w:vAlign w:val="center"/>
          </w:tcPr>
          <w:p w:rsidR="002E0378" w:rsidRDefault="005C380A">
            <w:pPr>
              <w:rPr>
                <w:rFonts w:ascii="Times New Roman" w:eastAsiaTheme="minorEastAsia" w:hAnsi="Times New Roman"/>
              </w:rPr>
            </w:pP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半年</w:t>
            </w:r>
          </w:p>
        </w:tc>
      </w:tr>
      <w:tr w:rsidR="002E0378">
        <w:trPr>
          <w:trHeight w:val="2697"/>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2E0378" w:rsidRDefault="005C380A">
            <w:pPr>
              <w:spacing w:line="240" w:lineRule="exact"/>
              <w:ind w:leftChars="-40" w:left="-84" w:rightChars="-40" w:right="-84"/>
              <w:rPr>
                <w:rFonts w:ascii="Times New Roman" w:eastAsiaTheme="minorEastAsia" w:hAnsi="Times New Roman"/>
              </w:rPr>
            </w:pPr>
            <w:r>
              <w:rPr>
                <w:rFonts w:ascii="Times New Roman" w:eastAsiaTheme="minorEastAsia" w:hAnsi="Times New Roman"/>
              </w:rPr>
              <w:t>A/B</w:t>
            </w:r>
          </w:p>
        </w:tc>
        <w:tc>
          <w:tcPr>
            <w:tcW w:w="241" w:type="pct"/>
            <w:tcBorders>
              <w:top w:val="single" w:sz="4" w:space="0" w:color="000000"/>
              <w:left w:val="single" w:sz="4" w:space="0" w:color="auto"/>
              <w:bottom w:val="single" w:sz="4" w:space="0" w:color="000000"/>
              <w:right w:val="single" w:sz="4" w:space="0" w:color="000000"/>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A/BS1</w:t>
            </w:r>
          </w:p>
        </w:tc>
        <w:tc>
          <w:tcPr>
            <w:tcW w:w="559" w:type="pct"/>
            <w:tcBorders>
              <w:top w:val="single" w:sz="4" w:space="0" w:color="000000"/>
              <w:left w:val="single" w:sz="4" w:space="0" w:color="000000"/>
              <w:bottom w:val="single" w:sz="4" w:space="0" w:color="000000"/>
              <w:right w:val="single" w:sz="4" w:space="0" w:color="000000"/>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渗滤液收集池南侧</w:t>
            </w:r>
          </w:p>
        </w:tc>
        <w:tc>
          <w:tcPr>
            <w:tcW w:w="783" w:type="pct"/>
            <w:tcBorders>
              <w:top w:val="single" w:sz="4" w:space="0" w:color="000000"/>
              <w:left w:val="single" w:sz="4" w:space="0" w:color="000000"/>
              <w:bottom w:val="single" w:sz="4" w:space="0" w:color="000000"/>
              <w:right w:val="single" w:sz="4" w:space="0" w:color="000000"/>
            </w:tcBorders>
            <w:vAlign w:val="center"/>
          </w:tcPr>
          <w:p w:rsidR="002E0378" w:rsidRDefault="005C380A">
            <w:pPr>
              <w:ind w:leftChars="-40" w:left="-84" w:rightChars="-40" w:right="-84"/>
              <w:rPr>
                <w:rFonts w:ascii="Times New Roman" w:hAnsi="Times New Roman"/>
              </w:rPr>
            </w:pPr>
            <w:r>
              <w:rPr>
                <w:rFonts w:ascii="Times New Roman" w:hAnsi="Times New Roman"/>
              </w:rPr>
              <w:t>E 126°36′10.99″</w:t>
            </w:r>
          </w:p>
          <w:p w:rsidR="002E0378" w:rsidRDefault="005C380A">
            <w:pPr>
              <w:ind w:leftChars="-40" w:left="-84" w:rightChars="-40" w:right="-84"/>
              <w:rPr>
                <w:rFonts w:ascii="Times New Roman" w:eastAsiaTheme="minorEastAsia" w:hAnsi="Times New Roman"/>
              </w:rPr>
            </w:pPr>
            <w:r>
              <w:rPr>
                <w:rFonts w:ascii="Times New Roman" w:hAnsi="Times New Roman"/>
              </w:rPr>
              <w:t>N 43°54′58.58″</w:t>
            </w:r>
          </w:p>
        </w:tc>
        <w:tc>
          <w:tcPr>
            <w:tcW w:w="904" w:type="pct"/>
            <w:tcBorders>
              <w:top w:val="single" w:sz="4" w:space="0" w:color="000000"/>
              <w:left w:val="single" w:sz="4" w:space="0" w:color="000000"/>
              <w:bottom w:val="single" w:sz="4" w:space="0" w:color="000000"/>
              <w:right w:val="single" w:sz="4" w:space="0" w:color="auto"/>
            </w:tcBorders>
            <w:vAlign w:val="center"/>
          </w:tcPr>
          <w:p w:rsidR="002E0378" w:rsidRDefault="005C380A">
            <w:pPr>
              <w:rPr>
                <w:rFonts w:ascii="Times New Roman" w:eastAsiaTheme="minorEastAsia" w:hAnsi="Times New Roman"/>
              </w:rPr>
            </w:pPr>
            <w:r>
              <w:rPr>
                <w:rFonts w:ascii="Times New Roman" w:eastAsiaTheme="minorEastAsia" w:hAnsi="Times New Roman"/>
              </w:rPr>
              <w:t>厂区地下水下游监测井，</w:t>
            </w:r>
            <w:r>
              <w:rPr>
                <w:rStyle w:val="NormalCharacter"/>
                <w:rFonts w:ascii="Times New Roman" w:hAnsi="Times New Roman"/>
                <w:kern w:val="0"/>
              </w:rPr>
              <w:t>捕捉污染物可能性较大</w:t>
            </w:r>
          </w:p>
        </w:tc>
        <w:tc>
          <w:tcPr>
            <w:tcW w:w="852" w:type="pct"/>
            <w:vMerge/>
            <w:tcBorders>
              <w:left w:val="single" w:sz="4" w:space="0" w:color="auto"/>
              <w:right w:val="single" w:sz="4" w:space="0" w:color="auto"/>
            </w:tcBorders>
            <w:vAlign w:val="center"/>
          </w:tcPr>
          <w:p w:rsidR="002E0378" w:rsidRDefault="002E0378">
            <w:pPr>
              <w:rPr>
                <w:rFonts w:ascii="Times New Roman" w:eastAsiaTheme="minorEastAsia" w:hAnsi="Times New Roman"/>
              </w:rPr>
            </w:pPr>
          </w:p>
        </w:tc>
        <w:tc>
          <w:tcPr>
            <w:tcW w:w="892" w:type="pct"/>
            <w:vMerge/>
            <w:tcBorders>
              <w:left w:val="single" w:sz="4" w:space="0" w:color="auto"/>
              <w:right w:val="single" w:sz="4" w:space="0" w:color="auto"/>
            </w:tcBorders>
            <w:vAlign w:val="center"/>
          </w:tcPr>
          <w:p w:rsidR="002E0378" w:rsidRDefault="002E0378">
            <w:pPr>
              <w:rPr>
                <w:rFonts w:ascii="Times New Roman" w:eastAsiaTheme="minorEastAsia" w:hAnsi="Times New Roman"/>
              </w:rPr>
            </w:pPr>
          </w:p>
        </w:tc>
        <w:tc>
          <w:tcPr>
            <w:tcW w:w="375" w:type="pct"/>
            <w:tcBorders>
              <w:top w:val="single" w:sz="4" w:space="0" w:color="000000"/>
              <w:left w:val="single" w:sz="4" w:space="0" w:color="auto"/>
              <w:bottom w:val="single" w:sz="4" w:space="0" w:color="000000"/>
              <w:right w:val="single" w:sz="4" w:space="0" w:color="000000"/>
            </w:tcBorders>
            <w:vAlign w:val="center"/>
          </w:tcPr>
          <w:p w:rsidR="002E0378" w:rsidRDefault="005C380A">
            <w:pPr>
              <w:rPr>
                <w:rFonts w:ascii="Times New Roman" w:eastAsiaTheme="minorEastAsia" w:hAnsi="Times New Roman"/>
              </w:rPr>
            </w:pP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半年</w:t>
            </w:r>
          </w:p>
        </w:tc>
      </w:tr>
      <w:tr w:rsidR="002E0378">
        <w:trPr>
          <w:trHeight w:val="1578"/>
          <w:jc w:val="center"/>
        </w:trPr>
        <w:tc>
          <w:tcPr>
            <w:tcW w:w="391" w:type="pct"/>
            <w:tcBorders>
              <w:right w:val="single" w:sz="4" w:space="0" w:color="auto"/>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厂区下游</w:t>
            </w:r>
          </w:p>
        </w:tc>
        <w:tc>
          <w:tcPr>
            <w:tcW w:w="241" w:type="pct"/>
            <w:tcBorders>
              <w:left w:val="single" w:sz="4" w:space="0" w:color="auto"/>
            </w:tcBorders>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CS</w:t>
            </w:r>
            <w:r>
              <w:rPr>
                <w:rFonts w:eastAsiaTheme="minorEastAsia" w:hint="eastAsia"/>
              </w:rPr>
              <w:t>1</w:t>
            </w:r>
          </w:p>
        </w:tc>
        <w:tc>
          <w:tcPr>
            <w:tcW w:w="559" w:type="pct"/>
            <w:vAlign w:val="center"/>
          </w:tcPr>
          <w:p w:rsidR="002E0378" w:rsidRDefault="005C380A">
            <w:pPr>
              <w:ind w:leftChars="-40" w:left="-84" w:rightChars="-40" w:right="-84"/>
              <w:rPr>
                <w:rFonts w:ascii="Times New Roman" w:eastAsiaTheme="minorEastAsia" w:hAnsi="Times New Roman"/>
              </w:rPr>
            </w:pPr>
            <w:r>
              <w:rPr>
                <w:rFonts w:ascii="Times New Roman" w:eastAsiaTheme="minorEastAsia" w:hAnsi="Times New Roman"/>
              </w:rPr>
              <w:t>厂区外</w:t>
            </w:r>
          </w:p>
        </w:tc>
        <w:tc>
          <w:tcPr>
            <w:tcW w:w="783" w:type="pct"/>
            <w:vAlign w:val="center"/>
          </w:tcPr>
          <w:p w:rsidR="002E0378" w:rsidRDefault="005C380A">
            <w:pPr>
              <w:ind w:leftChars="-40" w:left="-84" w:rightChars="-40" w:right="-84"/>
              <w:rPr>
                <w:rFonts w:ascii="Times New Roman" w:hAnsi="Times New Roman"/>
              </w:rPr>
            </w:pPr>
            <w:r>
              <w:rPr>
                <w:rFonts w:ascii="Times New Roman" w:hAnsi="Times New Roman"/>
              </w:rPr>
              <w:t>E 126°36′5.78″</w:t>
            </w:r>
          </w:p>
          <w:p w:rsidR="002E0378" w:rsidRDefault="005C380A">
            <w:pPr>
              <w:ind w:leftChars="-40" w:left="-84" w:rightChars="-40" w:right="-84"/>
              <w:rPr>
                <w:rFonts w:ascii="Times New Roman" w:eastAsiaTheme="minorEastAsia" w:hAnsi="Times New Roman"/>
              </w:rPr>
            </w:pPr>
            <w:r>
              <w:rPr>
                <w:rFonts w:ascii="Times New Roman" w:hAnsi="Times New Roman"/>
              </w:rPr>
              <w:t>N 43°54′47.59″</w:t>
            </w:r>
          </w:p>
        </w:tc>
        <w:tc>
          <w:tcPr>
            <w:tcW w:w="904" w:type="pct"/>
            <w:tcBorders>
              <w:right w:val="single" w:sz="4" w:space="0" w:color="auto"/>
            </w:tcBorders>
            <w:vAlign w:val="center"/>
          </w:tcPr>
          <w:p w:rsidR="002E0378" w:rsidRDefault="005C380A">
            <w:pPr>
              <w:rPr>
                <w:rStyle w:val="NormalCharacter"/>
                <w:rFonts w:ascii="Times New Roman" w:hAnsi="Times New Roman"/>
                <w:kern w:val="0"/>
              </w:rPr>
            </w:pPr>
            <w:r>
              <w:rPr>
                <w:rFonts w:ascii="Times New Roman" w:eastAsiaTheme="minorEastAsia" w:hAnsi="Times New Roman"/>
              </w:rPr>
              <w:t>现有监测井，厂区</w:t>
            </w:r>
            <w:r>
              <w:rPr>
                <w:rStyle w:val="NormalCharacter"/>
                <w:rFonts w:ascii="Times New Roman" w:hAnsi="Times New Roman"/>
                <w:kern w:val="0"/>
              </w:rPr>
              <w:t>地下水下游位置，了解厂区下游地下水水质</w:t>
            </w:r>
          </w:p>
        </w:tc>
        <w:tc>
          <w:tcPr>
            <w:tcW w:w="852" w:type="pct"/>
            <w:vMerge/>
            <w:tcBorders>
              <w:left w:val="single" w:sz="4" w:space="0" w:color="auto"/>
              <w:right w:val="single" w:sz="4" w:space="0" w:color="auto"/>
            </w:tcBorders>
            <w:vAlign w:val="center"/>
          </w:tcPr>
          <w:p w:rsidR="002E0378" w:rsidRDefault="002E0378">
            <w:pPr>
              <w:rPr>
                <w:rFonts w:ascii="Times New Roman" w:eastAsiaTheme="minorEastAsia" w:hAnsi="Times New Roman"/>
              </w:rPr>
            </w:pPr>
          </w:p>
        </w:tc>
        <w:tc>
          <w:tcPr>
            <w:tcW w:w="892" w:type="pct"/>
            <w:vMerge/>
            <w:tcBorders>
              <w:left w:val="single" w:sz="4" w:space="0" w:color="auto"/>
              <w:right w:val="single" w:sz="4" w:space="0" w:color="auto"/>
            </w:tcBorders>
            <w:vAlign w:val="center"/>
          </w:tcPr>
          <w:p w:rsidR="002E0378" w:rsidRDefault="002E0378">
            <w:pPr>
              <w:rPr>
                <w:rFonts w:ascii="Times New Roman" w:eastAsiaTheme="minorEastAsia" w:hAnsi="Times New Roman"/>
              </w:rPr>
            </w:pPr>
          </w:p>
        </w:tc>
        <w:tc>
          <w:tcPr>
            <w:tcW w:w="375" w:type="pct"/>
            <w:tcBorders>
              <w:left w:val="single" w:sz="4" w:space="0" w:color="auto"/>
            </w:tcBorders>
            <w:vAlign w:val="center"/>
          </w:tcPr>
          <w:p w:rsidR="002E0378" w:rsidRDefault="005C380A">
            <w:pPr>
              <w:rPr>
                <w:rFonts w:ascii="Times New Roman" w:eastAsiaTheme="minorEastAsia" w:hAnsi="Times New Roman"/>
              </w:rPr>
            </w:pPr>
            <w:r>
              <w:rPr>
                <w:rFonts w:ascii="Times New Roman" w:eastAsiaTheme="minorEastAsia" w:hAnsi="Times New Roman"/>
                <w:kern w:val="0"/>
              </w:rPr>
              <w:t>1</w:t>
            </w:r>
            <w:r>
              <w:rPr>
                <w:rFonts w:ascii="Times New Roman" w:eastAsiaTheme="minorEastAsia" w:hAnsi="Times New Roman"/>
                <w:kern w:val="0"/>
              </w:rPr>
              <w:t>次</w:t>
            </w:r>
            <w:r>
              <w:rPr>
                <w:rFonts w:ascii="Times New Roman" w:eastAsiaTheme="minorEastAsia" w:hAnsi="Times New Roman"/>
                <w:kern w:val="0"/>
              </w:rPr>
              <w:t>/</w:t>
            </w:r>
            <w:r>
              <w:rPr>
                <w:rFonts w:ascii="Times New Roman" w:eastAsiaTheme="minorEastAsia" w:hAnsi="Times New Roman"/>
                <w:kern w:val="0"/>
              </w:rPr>
              <w:t>半年</w:t>
            </w:r>
          </w:p>
        </w:tc>
      </w:tr>
    </w:tbl>
    <w:p w:rsidR="002E0378" w:rsidRDefault="002E0378">
      <w:pPr>
        <w:rPr>
          <w:rFonts w:ascii="宋体" w:hAnsi="宋体" w:cs="宋体"/>
        </w:rPr>
      </w:pPr>
    </w:p>
    <w:p w:rsidR="002E0378" w:rsidRDefault="005C380A">
      <w:pPr>
        <w:rPr>
          <w:rFonts w:ascii="宋体" w:hAnsi="宋体" w:cs="宋体"/>
        </w:rPr>
      </w:pPr>
      <w:r>
        <w:rPr>
          <w:noProof/>
        </w:rPr>
        <mc:AlternateContent>
          <mc:Choice Requires="wps">
            <w:drawing>
              <wp:anchor distT="0" distB="0" distL="114300" distR="114300" simplePos="0" relativeHeight="251669504" behindDoc="0" locked="0" layoutInCell="1" allowOverlap="1">
                <wp:simplePos x="0" y="0"/>
                <wp:positionH relativeFrom="column">
                  <wp:posOffset>2633980</wp:posOffset>
                </wp:positionH>
                <wp:positionV relativeFrom="paragraph">
                  <wp:posOffset>3787775</wp:posOffset>
                </wp:positionV>
                <wp:extent cx="2134235" cy="324485"/>
                <wp:effectExtent l="0" t="0" r="0" b="0"/>
                <wp:wrapNone/>
                <wp:docPr id="51" name="文本框 914"/>
                <wp:cNvGraphicFramePr/>
                <a:graphic xmlns:a="http://schemas.openxmlformats.org/drawingml/2006/main">
                  <a:graphicData uri="http://schemas.microsoft.com/office/word/2010/wordprocessingShape">
                    <wps:wsp>
                      <wps:cNvSpPr txBox="1"/>
                      <wps:spPr>
                        <a:xfrm>
                          <a:off x="0" y="0"/>
                          <a:ext cx="2134235" cy="324485"/>
                        </a:xfrm>
                        <a:prstGeom prst="rect">
                          <a:avLst/>
                        </a:prstGeom>
                        <a:noFill/>
                        <a:ln>
                          <a:noFill/>
                        </a:ln>
                      </wps:spPr>
                      <wps:txbx>
                        <w:txbxContent>
                          <w:p w:rsidR="002E0378" w:rsidRDefault="002E0378"/>
                        </w:txbxContent>
                      </wps:txbx>
                      <wps:bodyPr wrap="square" upright="1"/>
                    </wps:wsp>
                  </a:graphicData>
                </a:graphic>
              </wp:anchor>
            </w:drawing>
          </mc:Choice>
          <mc:Fallback xmlns:w15="http://schemas.microsoft.com/office/word/2012/wordml" xmlns:wpsCustomData="http://www.wps.cn/officeDocument/2013/wpsCustomData">
            <w:pict>
              <v:shape id="文本框 914" o:spid="_x0000_s1026" o:spt="202" type="#_x0000_t202" style="position:absolute;left:0pt;margin-left:207.4pt;margin-top:298.25pt;height:25.55pt;width:168.05pt;z-index:251669504;mso-width-relative:page;mso-height-relative:page;" filled="f" stroked="f" coordsize="21600,21600" o:gfxdata="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i5MTYAAAACwEAAA8AAAAAAAAAAQAgAAAAIgAAAGRycy9kb3ducmV2LnhtbFBLAQIU&#10;ABQAAAAIAIdO4kBRTTybugEAAF8DAAAOAAAAAAAAAAEAIAAAACcBAABkcnMvZTJvRG9jLnhtbFBL&#10;BQYAAAAABgAGAFkBAABTBQAAAAA=&#10;">
                <v:fill on="f" focussize="0,0"/>
                <v:stroke on="f"/>
                <v:imagedata o:title=""/>
                <o:lock v:ext="edit" aspectratio="f"/>
                <v:textbox>
                  <w:txbxContent>
                    <w:p/>
                  </w:txbxContent>
                </v:textbox>
              </v:shape>
            </w:pict>
          </mc:Fallback>
        </mc:AlternateContent>
      </w:r>
    </w:p>
    <w:p w:rsidR="002E0378" w:rsidRDefault="005C380A">
      <w:pPr>
        <w:pStyle w:val="112"/>
        <w:spacing w:line="240" w:lineRule="auto"/>
        <w:ind w:firstLineChars="0" w:firstLine="0"/>
      </w:pPr>
      <w:r>
        <w:rPr>
          <w:noProof/>
        </w:rPr>
        <w:drawing>
          <wp:inline distT="0" distB="0" distL="114300" distR="114300">
            <wp:extent cx="5271135" cy="3128645"/>
            <wp:effectExtent l="0" t="0" r="5715" b="14605"/>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46"/>
                    <a:stretch>
                      <a:fillRect/>
                    </a:stretch>
                  </pic:blipFill>
                  <pic:spPr>
                    <a:xfrm>
                      <a:off x="0" y="0"/>
                      <a:ext cx="5271135" cy="3128645"/>
                    </a:xfrm>
                    <a:prstGeom prst="rect">
                      <a:avLst/>
                    </a:prstGeom>
                    <a:noFill/>
                    <a:ln>
                      <a:noFill/>
                    </a:ln>
                  </pic:spPr>
                </pic:pic>
              </a:graphicData>
            </a:graphic>
          </wp:inline>
        </w:drawing>
      </w:r>
    </w:p>
    <w:p w:rsidR="002E0378" w:rsidRDefault="005C380A">
      <w:pPr>
        <w:pStyle w:val="112"/>
        <w:ind w:firstLine="482"/>
        <w:jc w:val="center"/>
        <w:rPr>
          <w:rFonts w:ascii="Times New Roman" w:hAnsi="Times New Roman"/>
          <w:b/>
          <w:bCs/>
          <w:color w:val="000000"/>
          <w:kern w:val="0"/>
          <w:sz w:val="24"/>
          <w:szCs w:val="32"/>
        </w:rPr>
      </w:pPr>
      <w:r>
        <w:rPr>
          <w:rFonts w:ascii="Times New Roman" w:hAnsi="Times New Roman" w:hint="eastAsia"/>
          <w:b/>
          <w:bCs/>
          <w:color w:val="000000"/>
          <w:kern w:val="0"/>
          <w:sz w:val="24"/>
          <w:szCs w:val="32"/>
        </w:rPr>
        <w:t>图</w:t>
      </w:r>
      <w:r>
        <w:rPr>
          <w:rFonts w:ascii="Times New Roman" w:hAnsi="Times New Roman" w:hint="eastAsia"/>
          <w:b/>
          <w:bCs/>
          <w:color w:val="000000"/>
          <w:kern w:val="0"/>
          <w:sz w:val="24"/>
          <w:szCs w:val="32"/>
        </w:rPr>
        <w:t xml:space="preserve">5-2 </w:t>
      </w:r>
      <w:r>
        <w:rPr>
          <w:rFonts w:hint="eastAsia"/>
          <w:b/>
          <w:bCs/>
          <w:color w:val="000000"/>
          <w:kern w:val="0"/>
          <w:sz w:val="24"/>
          <w:szCs w:val="32"/>
        </w:rPr>
        <w:t>地下水</w:t>
      </w:r>
      <w:r>
        <w:rPr>
          <w:rFonts w:ascii="Times New Roman" w:hAnsi="Times New Roman" w:hint="eastAsia"/>
          <w:b/>
          <w:bCs/>
          <w:color w:val="000000"/>
          <w:kern w:val="0"/>
          <w:sz w:val="24"/>
          <w:szCs w:val="32"/>
        </w:rPr>
        <w:t>采样点示意图</w:t>
      </w:r>
    </w:p>
    <w:p w:rsidR="002E0378" w:rsidRDefault="005C380A">
      <w:pPr>
        <w:pStyle w:val="2"/>
        <w:rPr>
          <w:rStyle w:val="3Char"/>
          <w:b/>
          <w:szCs w:val="28"/>
        </w:rPr>
      </w:pPr>
      <w:bookmarkStart w:id="72" w:name="_Toc14928"/>
      <w:r>
        <w:lastRenderedPageBreak/>
        <w:t>5.</w:t>
      </w:r>
      <w:r>
        <w:rPr>
          <w:rFonts w:hint="eastAsia"/>
        </w:rPr>
        <w:t xml:space="preserve">2 </w:t>
      </w:r>
      <w:r>
        <w:rPr>
          <w:rFonts w:hint="eastAsia"/>
        </w:rPr>
        <w:t>监测因子</w:t>
      </w:r>
      <w:bookmarkEnd w:id="72"/>
    </w:p>
    <w:p w:rsidR="002E0378" w:rsidRDefault="005C380A">
      <w:pPr>
        <w:pStyle w:val="a4"/>
        <w:ind w:firstLine="480"/>
      </w:pPr>
      <w:r>
        <w:rPr>
          <w:rFonts w:hint="eastAsia"/>
        </w:rPr>
        <w:t>通过对企业的调查，翻查企业排污许可证、环评、检测报告等相关资料后，确定了本次检测项目。</w:t>
      </w:r>
    </w:p>
    <w:p w:rsidR="002E0378" w:rsidRDefault="005C380A">
      <w:pPr>
        <w:pStyle w:val="a4"/>
        <w:ind w:firstLine="480"/>
        <w:rPr>
          <w:rFonts w:eastAsiaTheme="minorEastAsia" w:cs="Times New Roman"/>
          <w:kern w:val="0"/>
          <w:szCs w:val="32"/>
        </w:rPr>
      </w:pPr>
      <w:r>
        <w:rPr>
          <w:rFonts w:hint="eastAsia"/>
          <w:lang w:val="en-US"/>
        </w:rPr>
        <w:t>1</w:t>
      </w:r>
      <w:r>
        <w:rPr>
          <w:rFonts w:hint="eastAsia"/>
          <w:lang w:val="en-US"/>
        </w:rPr>
        <w:t>、</w:t>
      </w:r>
      <w:r>
        <w:rPr>
          <w:rFonts w:eastAsiaTheme="minorEastAsia" w:cs="Times New Roman"/>
          <w:kern w:val="0"/>
          <w:szCs w:val="32"/>
        </w:rPr>
        <w:t>土壤监测因子共</w:t>
      </w:r>
      <w:r>
        <w:rPr>
          <w:rFonts w:eastAsiaTheme="minorEastAsia" w:cs="Times New Roman"/>
          <w:kern w:val="0"/>
          <w:szCs w:val="32"/>
        </w:rPr>
        <w:t>4</w:t>
      </w:r>
      <w:r>
        <w:rPr>
          <w:rFonts w:eastAsiaTheme="minorEastAsia" w:cs="Times New Roman"/>
          <w:kern w:val="0"/>
          <w:szCs w:val="32"/>
          <w:lang w:val="en-US"/>
        </w:rPr>
        <w:t>6</w:t>
      </w:r>
      <w:r>
        <w:rPr>
          <w:rFonts w:eastAsiaTheme="minorEastAsia" w:cs="Times New Roman"/>
          <w:kern w:val="0"/>
          <w:szCs w:val="32"/>
        </w:rPr>
        <w:t>项：</w:t>
      </w:r>
    </w:p>
    <w:p w:rsidR="002E0378" w:rsidRDefault="005C380A">
      <w:pPr>
        <w:adjustRightInd w:val="0"/>
        <w:snapToGrid w:val="0"/>
        <w:spacing w:line="460" w:lineRule="exact"/>
        <w:ind w:firstLineChars="200" w:firstLine="480"/>
        <w:jc w:val="left"/>
        <w:rPr>
          <w:rFonts w:ascii="Times New Roman" w:eastAsiaTheme="minorEastAsia" w:hAnsi="Times New Roman"/>
          <w:kern w:val="0"/>
          <w:sz w:val="24"/>
          <w:szCs w:val="32"/>
        </w:rPr>
      </w:pPr>
      <w:r>
        <w:rPr>
          <w:rFonts w:ascii="Times New Roman" w:eastAsiaTheme="minorEastAsia" w:hAnsi="Times New Roman"/>
          <w:kern w:val="0"/>
          <w:sz w:val="24"/>
          <w:szCs w:val="32"/>
        </w:rPr>
        <w:t>土壤基本项</w:t>
      </w:r>
      <w:r>
        <w:rPr>
          <w:rFonts w:ascii="Times New Roman" w:eastAsiaTheme="minorEastAsia" w:hAnsi="Times New Roman"/>
          <w:kern w:val="0"/>
          <w:sz w:val="24"/>
          <w:szCs w:val="32"/>
        </w:rPr>
        <w:t>45</w:t>
      </w:r>
      <w:r>
        <w:rPr>
          <w:rFonts w:ascii="Times New Roman" w:eastAsiaTheme="minorEastAsia" w:hAnsi="Times New Roman"/>
          <w:kern w:val="0"/>
          <w:sz w:val="24"/>
          <w:szCs w:val="32"/>
        </w:rPr>
        <w:t>项：砷、镉、铬（六价）、铜、铅、汞、镍、四氯化碳、氯仿、氯甲烷、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二氯乙烷、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二氯乙烷、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二氯乙烯、顺</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二氯乙烯、反</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二氯乙烯、二氯甲烷、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二氯丙烷、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四氯乙烷、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四氯乙烷、四氯乙烯、</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三氯乙烷、</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三氯乙烷、三氯乙烯、</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w:t>
      </w:r>
      <w:r>
        <w:rPr>
          <w:rFonts w:ascii="Times New Roman" w:eastAsiaTheme="minorEastAsia" w:hAnsi="Times New Roman"/>
          <w:kern w:val="0"/>
          <w:sz w:val="24"/>
          <w:szCs w:val="32"/>
        </w:rPr>
        <w:t>3-</w:t>
      </w:r>
      <w:r>
        <w:rPr>
          <w:rFonts w:ascii="Times New Roman" w:eastAsiaTheme="minorEastAsia" w:hAnsi="Times New Roman"/>
          <w:kern w:val="0"/>
          <w:sz w:val="24"/>
          <w:szCs w:val="32"/>
        </w:rPr>
        <w:t>三氯丙烷、氯乙烯、苯、氯苯、</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二氯苯、</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4-</w:t>
      </w:r>
      <w:r>
        <w:rPr>
          <w:rFonts w:ascii="Times New Roman" w:eastAsiaTheme="minorEastAsia" w:hAnsi="Times New Roman"/>
          <w:kern w:val="0"/>
          <w:sz w:val="24"/>
          <w:szCs w:val="32"/>
        </w:rPr>
        <w:t>二氯苯、乙苯、苯乙烯、甲苯、间二甲苯</w:t>
      </w:r>
      <w:r>
        <w:rPr>
          <w:rFonts w:ascii="Times New Roman" w:eastAsiaTheme="minorEastAsia" w:hAnsi="Times New Roman"/>
          <w:kern w:val="0"/>
          <w:sz w:val="24"/>
          <w:szCs w:val="32"/>
        </w:rPr>
        <w:t>+</w:t>
      </w:r>
      <w:r>
        <w:rPr>
          <w:rFonts w:ascii="Times New Roman" w:eastAsiaTheme="minorEastAsia" w:hAnsi="Times New Roman"/>
          <w:kern w:val="0"/>
          <w:sz w:val="24"/>
          <w:szCs w:val="32"/>
        </w:rPr>
        <w:t>对二甲苯、邻二甲苯、硝基苯、苯胺、</w:t>
      </w:r>
      <w:r>
        <w:rPr>
          <w:rFonts w:ascii="Times New Roman" w:eastAsiaTheme="minorEastAsia" w:hAnsi="Times New Roman"/>
          <w:kern w:val="0"/>
          <w:sz w:val="24"/>
          <w:szCs w:val="32"/>
        </w:rPr>
        <w:t>2-</w:t>
      </w:r>
      <w:r>
        <w:rPr>
          <w:rFonts w:ascii="Times New Roman" w:eastAsiaTheme="minorEastAsia" w:hAnsi="Times New Roman"/>
          <w:kern w:val="0"/>
          <w:sz w:val="24"/>
          <w:szCs w:val="32"/>
        </w:rPr>
        <w:t>氯酚、苯并</w:t>
      </w:r>
      <w:r>
        <w:rPr>
          <w:rFonts w:ascii="Times New Roman" w:eastAsiaTheme="minorEastAsia" w:hAnsi="Times New Roman"/>
          <w:kern w:val="0"/>
          <w:sz w:val="24"/>
          <w:szCs w:val="32"/>
        </w:rPr>
        <w:t>[a]</w:t>
      </w:r>
      <w:r>
        <w:rPr>
          <w:rFonts w:ascii="Times New Roman" w:eastAsiaTheme="minorEastAsia" w:hAnsi="Times New Roman"/>
          <w:kern w:val="0"/>
          <w:sz w:val="24"/>
          <w:szCs w:val="32"/>
        </w:rPr>
        <w:t>蒽、苯并</w:t>
      </w:r>
      <w:r>
        <w:rPr>
          <w:rFonts w:ascii="Times New Roman" w:eastAsiaTheme="minorEastAsia" w:hAnsi="Times New Roman"/>
          <w:kern w:val="0"/>
          <w:sz w:val="24"/>
          <w:szCs w:val="32"/>
        </w:rPr>
        <w:t>[a]</w:t>
      </w:r>
      <w:r>
        <w:rPr>
          <w:rFonts w:ascii="Times New Roman" w:eastAsiaTheme="minorEastAsia" w:hAnsi="Times New Roman"/>
          <w:kern w:val="0"/>
          <w:sz w:val="24"/>
          <w:szCs w:val="32"/>
        </w:rPr>
        <w:t>芘、苯并</w:t>
      </w:r>
      <w:r>
        <w:rPr>
          <w:rFonts w:ascii="Times New Roman" w:eastAsiaTheme="minorEastAsia" w:hAnsi="Times New Roman"/>
          <w:kern w:val="0"/>
          <w:sz w:val="24"/>
          <w:szCs w:val="32"/>
        </w:rPr>
        <w:t>[b]</w:t>
      </w:r>
      <w:r>
        <w:rPr>
          <w:rFonts w:ascii="Times New Roman" w:eastAsiaTheme="minorEastAsia" w:hAnsi="Times New Roman"/>
          <w:kern w:val="0"/>
          <w:sz w:val="24"/>
          <w:szCs w:val="32"/>
        </w:rPr>
        <w:t>荧蒽、苯并</w:t>
      </w:r>
      <w:r>
        <w:rPr>
          <w:rFonts w:ascii="Times New Roman" w:eastAsiaTheme="minorEastAsia" w:hAnsi="Times New Roman"/>
          <w:kern w:val="0"/>
          <w:sz w:val="24"/>
          <w:szCs w:val="32"/>
        </w:rPr>
        <w:t>[K]</w:t>
      </w:r>
      <w:r>
        <w:rPr>
          <w:rFonts w:ascii="Times New Roman" w:eastAsiaTheme="minorEastAsia" w:hAnsi="Times New Roman"/>
          <w:kern w:val="0"/>
          <w:sz w:val="24"/>
          <w:szCs w:val="32"/>
        </w:rPr>
        <w:t>荧蒽、䓛、二苯并</w:t>
      </w:r>
      <w:r>
        <w:rPr>
          <w:rFonts w:ascii="Times New Roman" w:eastAsiaTheme="minorEastAsia" w:hAnsi="Times New Roman"/>
          <w:kern w:val="0"/>
          <w:sz w:val="24"/>
          <w:szCs w:val="32"/>
        </w:rPr>
        <w:t>[a</w:t>
      </w:r>
      <w:r>
        <w:rPr>
          <w:rFonts w:ascii="Times New Roman" w:eastAsiaTheme="minorEastAsia" w:hAnsi="Times New Roman"/>
          <w:kern w:val="0"/>
          <w:sz w:val="24"/>
          <w:szCs w:val="32"/>
        </w:rPr>
        <w:t>，</w:t>
      </w:r>
      <w:r>
        <w:rPr>
          <w:rFonts w:ascii="Times New Roman" w:eastAsiaTheme="minorEastAsia" w:hAnsi="Times New Roman"/>
          <w:kern w:val="0"/>
          <w:sz w:val="24"/>
          <w:szCs w:val="32"/>
        </w:rPr>
        <w:t>h]</w:t>
      </w:r>
      <w:r>
        <w:rPr>
          <w:rFonts w:ascii="Times New Roman" w:eastAsiaTheme="minorEastAsia" w:hAnsi="Times New Roman"/>
          <w:kern w:val="0"/>
          <w:sz w:val="24"/>
          <w:szCs w:val="32"/>
        </w:rPr>
        <w:t>蒽、茚并</w:t>
      </w:r>
      <w:r>
        <w:rPr>
          <w:rFonts w:ascii="Times New Roman" w:eastAsiaTheme="minorEastAsia" w:hAnsi="Times New Roman"/>
          <w:kern w:val="0"/>
          <w:sz w:val="24"/>
          <w:szCs w:val="32"/>
        </w:rPr>
        <w:t>[1</w:t>
      </w:r>
      <w:r>
        <w:rPr>
          <w:rFonts w:ascii="Times New Roman" w:eastAsiaTheme="minorEastAsia" w:hAnsi="Times New Roman"/>
          <w:kern w:val="0"/>
          <w:sz w:val="24"/>
          <w:szCs w:val="32"/>
        </w:rPr>
        <w:t>，</w:t>
      </w:r>
      <w:r>
        <w:rPr>
          <w:rFonts w:ascii="Times New Roman" w:eastAsiaTheme="minorEastAsia" w:hAnsi="Times New Roman"/>
          <w:kern w:val="0"/>
          <w:sz w:val="24"/>
          <w:szCs w:val="32"/>
        </w:rPr>
        <w:t>2</w:t>
      </w:r>
      <w:r>
        <w:rPr>
          <w:rFonts w:ascii="Times New Roman" w:eastAsiaTheme="minorEastAsia" w:hAnsi="Times New Roman"/>
          <w:kern w:val="0"/>
          <w:sz w:val="24"/>
          <w:szCs w:val="32"/>
        </w:rPr>
        <w:t>，</w:t>
      </w:r>
      <w:r>
        <w:rPr>
          <w:rFonts w:ascii="Times New Roman" w:eastAsiaTheme="minorEastAsia" w:hAnsi="Times New Roman"/>
          <w:kern w:val="0"/>
          <w:sz w:val="24"/>
          <w:szCs w:val="32"/>
        </w:rPr>
        <w:t>3-cd]</w:t>
      </w:r>
      <w:r>
        <w:rPr>
          <w:rFonts w:ascii="Times New Roman" w:eastAsiaTheme="minorEastAsia" w:hAnsi="Times New Roman"/>
          <w:kern w:val="0"/>
          <w:sz w:val="24"/>
          <w:szCs w:val="32"/>
        </w:rPr>
        <w:t>芘、萘。</w:t>
      </w:r>
    </w:p>
    <w:p w:rsidR="002E0378" w:rsidRDefault="005C380A">
      <w:pPr>
        <w:pStyle w:val="5"/>
        <w:numPr>
          <w:ilvl w:val="0"/>
          <w:numId w:val="0"/>
        </w:numPr>
        <w:spacing w:line="360" w:lineRule="auto"/>
        <w:ind w:firstLineChars="200" w:firstLine="480"/>
        <w:jc w:val="both"/>
      </w:pPr>
      <w:r>
        <w:rPr>
          <w:rFonts w:ascii="Times New Roman" w:eastAsiaTheme="minorEastAsia" w:hAnsi="Times New Roman"/>
          <w:kern w:val="0"/>
          <w:sz w:val="24"/>
          <w:szCs w:val="32"/>
        </w:rPr>
        <w:t>其他监测因子：二噁英。</w:t>
      </w:r>
    </w:p>
    <w:p w:rsidR="002E0378" w:rsidRDefault="005C380A">
      <w:pPr>
        <w:pStyle w:val="a4"/>
        <w:ind w:firstLine="480"/>
      </w:pPr>
      <w:r>
        <w:rPr>
          <w:rFonts w:hint="eastAsia"/>
          <w:lang w:val="en-US"/>
        </w:rPr>
        <w:t>2</w:t>
      </w:r>
      <w:r>
        <w:rPr>
          <w:rFonts w:hint="eastAsia"/>
          <w:lang w:val="en-US"/>
        </w:rPr>
        <w:t>、</w:t>
      </w:r>
      <w:r>
        <w:rPr>
          <w:rFonts w:hint="eastAsia"/>
        </w:rPr>
        <w:t>地下水监测因子共</w:t>
      </w:r>
      <w:r>
        <w:rPr>
          <w:rFonts w:hint="eastAsia"/>
          <w:lang w:val="en-US"/>
        </w:rPr>
        <w:t>23</w:t>
      </w:r>
      <w:r>
        <w:rPr>
          <w:rFonts w:hint="eastAsia"/>
        </w:rPr>
        <w:t>项：</w:t>
      </w:r>
    </w:p>
    <w:p w:rsidR="002E0378" w:rsidRDefault="005C380A">
      <w:pPr>
        <w:pStyle w:val="WPSOffice1"/>
        <w:tabs>
          <w:tab w:val="right" w:leader="dot" w:pos="8306"/>
        </w:tabs>
        <w:spacing w:line="460" w:lineRule="exact"/>
        <w:ind w:firstLineChars="200" w:firstLine="480"/>
        <w:rPr>
          <w:rFonts w:eastAsiaTheme="minorEastAsia"/>
          <w:sz w:val="24"/>
          <w:szCs w:val="32"/>
        </w:rPr>
        <w:sectPr w:rsidR="002E0378">
          <w:pgSz w:w="11906" w:h="16838"/>
          <w:pgMar w:top="1440" w:right="1800" w:bottom="1440" w:left="1800" w:header="851" w:footer="992" w:gutter="0"/>
          <w:cols w:space="425"/>
          <w:docGrid w:type="lines" w:linePitch="312"/>
        </w:sectPr>
      </w:pPr>
      <w:r>
        <w:rPr>
          <w:rFonts w:eastAsiaTheme="minorEastAsia"/>
          <w:sz w:val="24"/>
          <w:szCs w:val="32"/>
        </w:rPr>
        <w:t>通过查找相关环评、排污许可证等资料，确定地下水监测因子共</w:t>
      </w:r>
      <w:r>
        <w:rPr>
          <w:rFonts w:eastAsiaTheme="minorEastAsia"/>
          <w:sz w:val="24"/>
          <w:szCs w:val="32"/>
        </w:rPr>
        <w:t>22</w:t>
      </w:r>
      <w:r>
        <w:rPr>
          <w:rFonts w:eastAsiaTheme="minorEastAsia"/>
          <w:sz w:val="24"/>
          <w:szCs w:val="32"/>
        </w:rPr>
        <w:t>项，包括：浑浊度、</w:t>
      </w:r>
      <w:r>
        <w:rPr>
          <w:rFonts w:eastAsiaTheme="minorEastAsia"/>
          <w:sz w:val="24"/>
          <w:szCs w:val="32"/>
        </w:rPr>
        <w:t>pH</w:t>
      </w:r>
      <w:r>
        <w:rPr>
          <w:rFonts w:eastAsiaTheme="minorEastAsia"/>
          <w:sz w:val="24"/>
          <w:szCs w:val="32"/>
        </w:rPr>
        <w:t>、总硬度、溶解性总固体、化学需氧量、氯化物（以</w:t>
      </w:r>
      <w:r>
        <w:rPr>
          <w:rFonts w:eastAsiaTheme="minorEastAsia"/>
          <w:sz w:val="24"/>
          <w:szCs w:val="32"/>
        </w:rPr>
        <w:t>Cl-</w:t>
      </w:r>
      <w:r>
        <w:rPr>
          <w:rFonts w:eastAsiaTheme="minorEastAsia"/>
          <w:sz w:val="24"/>
          <w:szCs w:val="32"/>
        </w:rPr>
        <w:t>计）、氨氮、挥发酚、硝酸盐（以</w:t>
      </w:r>
      <w:r>
        <w:rPr>
          <w:rFonts w:eastAsiaTheme="minorEastAsia"/>
          <w:sz w:val="24"/>
          <w:szCs w:val="32"/>
        </w:rPr>
        <w:t>N</w:t>
      </w:r>
      <w:r>
        <w:rPr>
          <w:rFonts w:eastAsiaTheme="minorEastAsia"/>
          <w:sz w:val="24"/>
          <w:szCs w:val="32"/>
        </w:rPr>
        <w:t>计）、亚硝酸盐（以</w:t>
      </w:r>
      <w:r>
        <w:rPr>
          <w:rFonts w:eastAsiaTheme="minorEastAsia"/>
          <w:sz w:val="24"/>
          <w:szCs w:val="32"/>
        </w:rPr>
        <w:t>N</w:t>
      </w:r>
      <w:r>
        <w:rPr>
          <w:rFonts w:eastAsiaTheme="minorEastAsia"/>
          <w:sz w:val="24"/>
          <w:szCs w:val="32"/>
        </w:rPr>
        <w:t>计）、氟化物（以</w:t>
      </w:r>
      <w:r>
        <w:rPr>
          <w:rFonts w:eastAsiaTheme="minorEastAsia"/>
          <w:sz w:val="24"/>
          <w:szCs w:val="32"/>
        </w:rPr>
        <w:t>F-</w:t>
      </w:r>
      <w:r>
        <w:rPr>
          <w:rFonts w:eastAsiaTheme="minorEastAsia"/>
          <w:sz w:val="24"/>
          <w:szCs w:val="32"/>
        </w:rPr>
        <w:t>计）、铁、锰、铜、锌、镉、铅、镍、汞、砷、六价铬、石油类</w:t>
      </w:r>
      <w:r>
        <w:rPr>
          <w:rFonts w:eastAsiaTheme="minorEastAsia" w:hint="eastAsia"/>
          <w:sz w:val="24"/>
          <w:szCs w:val="32"/>
        </w:rPr>
        <w:t>、总大肠菌群</w:t>
      </w:r>
      <w:r>
        <w:rPr>
          <w:rFonts w:eastAsiaTheme="minorEastAsia"/>
          <w:sz w:val="24"/>
          <w:szCs w:val="32"/>
        </w:rPr>
        <w:t>。</w:t>
      </w:r>
    </w:p>
    <w:p w:rsidR="002E0378" w:rsidRDefault="005C380A">
      <w:pPr>
        <w:pStyle w:val="2"/>
        <w:rPr>
          <w:rFonts w:ascii="宋体" w:hAnsi="宋体" w:cs="宋体"/>
          <w:szCs w:val="28"/>
          <w:lang w:val="zh-CN"/>
        </w:rPr>
      </w:pPr>
      <w:bookmarkStart w:id="73" w:name="_Toc3286"/>
      <w:bookmarkStart w:id="74" w:name="_Toc7819"/>
      <w:r>
        <w:rPr>
          <w:rFonts w:hint="eastAsia"/>
          <w:lang w:val="zh-CN"/>
        </w:rPr>
        <w:lastRenderedPageBreak/>
        <w:t>5.</w:t>
      </w:r>
      <w:r>
        <w:rPr>
          <w:rFonts w:hint="eastAsia"/>
        </w:rPr>
        <w:t xml:space="preserve">3 </w:t>
      </w:r>
      <w:r>
        <w:t>质量保证和质量控制</w:t>
      </w:r>
      <w:bookmarkEnd w:id="73"/>
      <w:bookmarkEnd w:id="74"/>
    </w:p>
    <w:p w:rsidR="002E0378" w:rsidRDefault="005C380A">
      <w:pPr>
        <w:pStyle w:val="3"/>
        <w:rPr>
          <w:rFonts w:ascii="宋体" w:hAnsi="宋体" w:cs="宋体"/>
          <w:b w:val="0"/>
          <w:bCs w:val="0"/>
          <w:szCs w:val="28"/>
        </w:rPr>
      </w:pPr>
      <w:r>
        <w:rPr>
          <w:rFonts w:hint="eastAsia"/>
        </w:rPr>
        <w:t xml:space="preserve">5.3.1 </w:t>
      </w:r>
      <w:r>
        <w:rPr>
          <w:rFonts w:hint="eastAsia"/>
        </w:rPr>
        <w:t>现场</w:t>
      </w:r>
      <w:r>
        <w:rPr>
          <w:rFonts w:hint="eastAsia"/>
          <w:lang w:val="zh-CN"/>
        </w:rPr>
        <w:t>质量控制</w:t>
      </w:r>
    </w:p>
    <w:p w:rsidR="002E0378" w:rsidRDefault="005C380A">
      <w:pPr>
        <w:pStyle w:val="a4"/>
        <w:ind w:firstLine="480"/>
      </w:pPr>
      <w:r>
        <w:rPr>
          <w:rFonts w:hint="eastAsia"/>
        </w:rPr>
        <w:t>土壤采释过程中，应佩一次性手套，严禁直接用手采集土群；清洗过程中产生的废水、置换的一次件手套均应统一收集处置。采集的样品及时送往实验室进行分析，样品的保存期限不超过相应时间要求。</w:t>
      </w:r>
    </w:p>
    <w:p w:rsidR="002E0378" w:rsidRDefault="005C380A">
      <w:pPr>
        <w:pStyle w:val="3"/>
        <w:rPr>
          <w:rFonts w:ascii="宋体" w:hAnsi="宋体" w:cs="宋体"/>
          <w:b w:val="0"/>
          <w:bCs w:val="0"/>
          <w:szCs w:val="28"/>
        </w:rPr>
      </w:pPr>
      <w:r>
        <w:rPr>
          <w:rFonts w:hint="eastAsia"/>
        </w:rPr>
        <w:t xml:space="preserve">5.3.2 </w:t>
      </w:r>
      <w:r>
        <w:rPr>
          <w:rFonts w:hint="eastAsia"/>
        </w:rPr>
        <w:t>实验室分析质量保证</w:t>
      </w:r>
    </w:p>
    <w:p w:rsidR="002E0378" w:rsidRDefault="005C380A">
      <w:pPr>
        <w:pStyle w:val="a4"/>
        <w:ind w:firstLine="480"/>
      </w:pPr>
      <w:r>
        <w:rPr>
          <w:rFonts w:hint="eastAsia"/>
        </w:rPr>
        <w:t>为确保样品分析质量，本项目土壤和地下水样品分析单位选取得国内认证资质实验室进行。为了保证分析样品的准确性，除了实验室已通过</w:t>
      </w:r>
      <w:r>
        <w:rPr>
          <w:rFonts w:hint="eastAsia"/>
        </w:rPr>
        <w:t>CMA</w:t>
      </w:r>
      <w:r>
        <w:rPr>
          <w:rFonts w:hint="eastAsia"/>
        </w:rPr>
        <w:t>认证，仪器按照规定定期校正外，在进行样品分析时还对各环节进行质量控制，随时检查和发现分析测试数据是否受控（主要通过标准曲线、精密度、准确度等）。</w:t>
      </w:r>
    </w:p>
    <w:p w:rsidR="002E0378" w:rsidRDefault="005C380A">
      <w:pPr>
        <w:pStyle w:val="2"/>
        <w:rPr>
          <w:rStyle w:val="3Char"/>
          <w:b/>
          <w:szCs w:val="28"/>
        </w:rPr>
      </w:pPr>
      <w:bookmarkStart w:id="75" w:name="_Toc29184"/>
      <w:bookmarkStart w:id="76" w:name="_Toc14696"/>
      <w:bookmarkStart w:id="77" w:name="_Toc9729"/>
      <w:r>
        <w:t>5.4</w:t>
      </w:r>
      <w:r>
        <w:rPr>
          <w:rFonts w:hint="eastAsia"/>
        </w:rPr>
        <w:t xml:space="preserve"> </w:t>
      </w:r>
      <w:r>
        <w:t>实验室分析</w:t>
      </w:r>
      <w:bookmarkEnd w:id="75"/>
      <w:bookmarkEnd w:id="76"/>
      <w:bookmarkEnd w:id="77"/>
    </w:p>
    <w:p w:rsidR="002E0378" w:rsidRDefault="005C380A">
      <w:pPr>
        <w:pStyle w:val="a4"/>
        <w:ind w:firstLine="480"/>
      </w:pPr>
      <w:r>
        <w:rPr>
          <w:rFonts w:hint="eastAsia"/>
        </w:rPr>
        <w:t>本次调查样品污染物检测方法见下表。</w:t>
      </w:r>
    </w:p>
    <w:p w:rsidR="002E0378" w:rsidRDefault="005C380A">
      <w:pPr>
        <w:pStyle w:val="a4"/>
        <w:ind w:firstLineChars="0" w:firstLine="0"/>
        <w:jc w:val="center"/>
        <w:rPr>
          <w:rFonts w:ascii="宋体" w:hAnsi="宋体"/>
        </w:rPr>
      </w:pPr>
      <w:r>
        <w:rPr>
          <w:rFonts w:hint="eastAsia"/>
          <w:b/>
          <w:bCs/>
        </w:rPr>
        <w:t>表</w:t>
      </w:r>
      <w:r>
        <w:rPr>
          <w:rFonts w:hint="eastAsia"/>
          <w:b/>
          <w:bCs/>
        </w:rPr>
        <w:t>5-</w:t>
      </w:r>
      <w:r>
        <w:rPr>
          <w:rFonts w:hint="eastAsia"/>
          <w:b/>
          <w:bCs/>
          <w:lang w:val="en-US"/>
        </w:rPr>
        <w:t>3</w:t>
      </w:r>
      <w:r>
        <w:rPr>
          <w:rFonts w:hint="eastAsia"/>
          <w:b/>
          <w:bCs/>
        </w:rPr>
        <w:t xml:space="preserve">  </w:t>
      </w:r>
      <w:r>
        <w:rPr>
          <w:rFonts w:hint="eastAsia"/>
          <w:b/>
          <w:bCs/>
        </w:rPr>
        <w:t>土壤实验室检测方法</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955"/>
        <w:gridCol w:w="3000"/>
        <w:gridCol w:w="1215"/>
        <w:gridCol w:w="1537"/>
        <w:gridCol w:w="1103"/>
      </w:tblGrid>
      <w:tr w:rsidR="002E0378">
        <w:trPr>
          <w:trHeight w:val="90"/>
        </w:trPr>
        <w:tc>
          <w:tcPr>
            <w:tcW w:w="718"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样品</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类别</w:t>
            </w: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检测</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项目</w:t>
            </w:r>
          </w:p>
        </w:tc>
        <w:tc>
          <w:tcPr>
            <w:tcW w:w="3000"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检测方法及检测依据</w:t>
            </w:r>
          </w:p>
        </w:tc>
        <w:tc>
          <w:tcPr>
            <w:tcW w:w="121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仪器名称</w:t>
            </w:r>
          </w:p>
        </w:tc>
        <w:tc>
          <w:tcPr>
            <w:tcW w:w="1537"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仪器</w:t>
            </w:r>
            <w:r>
              <w:rPr>
                <w:rFonts w:ascii="Times New Roman" w:hAnsi="Times New Roman"/>
                <w:sz w:val="18"/>
                <w:szCs w:val="18"/>
              </w:rPr>
              <w:t>型号</w:t>
            </w:r>
            <w:r>
              <w:rPr>
                <w:rFonts w:ascii="Times New Roman" w:hAnsi="Times New Roman" w:hint="eastAsia"/>
                <w:sz w:val="18"/>
                <w:szCs w:val="18"/>
              </w:rPr>
              <w:t>及编号</w:t>
            </w:r>
          </w:p>
        </w:tc>
        <w:tc>
          <w:tcPr>
            <w:tcW w:w="1103"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检出限</w:t>
            </w:r>
          </w:p>
        </w:tc>
      </w:tr>
      <w:tr w:rsidR="002E0378">
        <w:trPr>
          <w:trHeight w:val="23"/>
        </w:trPr>
        <w:tc>
          <w:tcPr>
            <w:tcW w:w="718" w:type="dxa"/>
            <w:vMerge w:val="restart"/>
            <w:vAlign w:val="center"/>
          </w:tcPr>
          <w:p w:rsidR="002E0378" w:rsidRDefault="005C380A">
            <w:pPr>
              <w:widowControl w:val="0"/>
              <w:spacing w:line="280" w:lineRule="exact"/>
              <w:rPr>
                <w:sz w:val="18"/>
                <w:szCs w:val="18"/>
              </w:rPr>
            </w:pPr>
            <w:r>
              <w:rPr>
                <w:rFonts w:ascii="Times New Roman" w:hAnsi="Times New Roman" w:hint="eastAsia"/>
                <w:sz w:val="18"/>
                <w:szCs w:val="18"/>
              </w:rPr>
              <w:t>土壤</w:t>
            </w: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汞、砷、硒、铋、锑的测定</w:t>
            </w:r>
            <w:r>
              <w:rPr>
                <w:rFonts w:ascii="Times New Roman" w:hAnsi="Times New Roman"/>
                <w:sz w:val="18"/>
                <w:szCs w:val="18"/>
              </w:rPr>
              <w:t xml:space="preserve"> </w:t>
            </w:r>
            <w:r>
              <w:rPr>
                <w:rFonts w:ascii="Times New Roman" w:hAnsi="Times New Roman"/>
                <w:sz w:val="18"/>
                <w:szCs w:val="18"/>
              </w:rPr>
              <w:t>微波消解原子荧光法</w:t>
            </w:r>
            <w:r>
              <w:rPr>
                <w:rFonts w:ascii="Times New Roman" w:hAnsi="Times New Roman"/>
                <w:sz w:val="18"/>
                <w:szCs w:val="18"/>
              </w:rPr>
              <w:t xml:space="preserve">HJ 680-2013 </w:t>
            </w:r>
          </w:p>
        </w:tc>
        <w:tc>
          <w:tcPr>
            <w:tcW w:w="1215"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原子荧光光度计</w:t>
            </w:r>
          </w:p>
        </w:tc>
        <w:tc>
          <w:tcPr>
            <w:tcW w:w="1537"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JBY-YQ-02</w:t>
            </w:r>
            <w:r>
              <w:rPr>
                <w:rFonts w:ascii="Times New Roman" w:hAnsi="Times New Roman" w:hint="eastAsia"/>
                <w:sz w:val="18"/>
                <w:szCs w:val="18"/>
              </w:rPr>
              <w:t>、</w:t>
            </w:r>
            <w:r>
              <w:rPr>
                <w:rFonts w:ascii="Times New Roman" w:hAnsi="Times New Roman"/>
                <w:sz w:val="18"/>
                <w:szCs w:val="18"/>
              </w:rPr>
              <w:t>AFS-8500</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镉</w:t>
            </w:r>
          </w:p>
        </w:tc>
        <w:tc>
          <w:tcPr>
            <w:tcW w:w="3000" w:type="dxa"/>
            <w:vAlign w:val="center"/>
          </w:tcPr>
          <w:p w:rsidR="002E0378" w:rsidRDefault="005C380A">
            <w:pPr>
              <w:widowControl w:val="0"/>
              <w:spacing w:line="280" w:lineRule="exact"/>
              <w:rPr>
                <w:rFonts w:ascii="宋体" w:hAnsi="宋体" w:cs="宋体"/>
                <w:kern w:val="0"/>
                <w:sz w:val="18"/>
                <w:szCs w:val="18"/>
              </w:rPr>
            </w:pPr>
            <w:r>
              <w:rPr>
                <w:rFonts w:ascii="Times New Roman" w:hAnsi="Times New Roman"/>
                <w:sz w:val="18"/>
                <w:szCs w:val="18"/>
              </w:rPr>
              <w:t>土壤质量</w:t>
            </w:r>
            <w:r>
              <w:rPr>
                <w:rFonts w:ascii="Times New Roman" w:hAnsi="Times New Roman"/>
                <w:sz w:val="18"/>
                <w:szCs w:val="18"/>
              </w:rPr>
              <w:t xml:space="preserve"> </w:t>
            </w:r>
            <w:r>
              <w:rPr>
                <w:rFonts w:ascii="Times New Roman" w:hAnsi="Times New Roman"/>
                <w:sz w:val="18"/>
                <w:szCs w:val="18"/>
              </w:rPr>
              <w:t>铅、镉的测定</w:t>
            </w:r>
            <w:r>
              <w:rPr>
                <w:rFonts w:ascii="Times New Roman" w:hAnsi="Times New Roman"/>
                <w:sz w:val="18"/>
                <w:szCs w:val="18"/>
              </w:rPr>
              <w:t xml:space="preserve"> </w:t>
            </w:r>
            <w:r>
              <w:rPr>
                <w:rFonts w:ascii="Times New Roman" w:hAnsi="Times New Roman"/>
                <w:sz w:val="18"/>
                <w:szCs w:val="18"/>
              </w:rPr>
              <w:t>石墨炉原子吸收分光光度法</w:t>
            </w:r>
            <w:r>
              <w:rPr>
                <w:rFonts w:ascii="Times New Roman" w:hAnsi="Times New Roman"/>
                <w:sz w:val="18"/>
                <w:szCs w:val="18"/>
              </w:rPr>
              <w:t xml:space="preserve"> GB/T 7141-1997</w:t>
            </w:r>
          </w:p>
        </w:tc>
        <w:tc>
          <w:tcPr>
            <w:tcW w:w="1215" w:type="dxa"/>
            <w:vMerge w:val="restart"/>
            <w:vAlign w:val="center"/>
          </w:tcPr>
          <w:p w:rsidR="002E0378" w:rsidRDefault="005C380A">
            <w:pPr>
              <w:widowControl w:val="0"/>
              <w:spacing w:line="280" w:lineRule="exact"/>
              <w:rPr>
                <w:rFonts w:ascii="宋体" w:hAnsi="宋体" w:cs="宋体"/>
                <w:kern w:val="0"/>
                <w:sz w:val="18"/>
                <w:szCs w:val="18"/>
              </w:rPr>
            </w:pPr>
            <w:r>
              <w:rPr>
                <w:rFonts w:ascii="Times New Roman" w:hAnsi="Times New Roman"/>
                <w:sz w:val="18"/>
                <w:szCs w:val="18"/>
              </w:rPr>
              <w:t>原子吸收分光光度</w:t>
            </w:r>
            <w:r>
              <w:rPr>
                <w:rFonts w:ascii="Times New Roman" w:hAnsi="Times New Roman" w:hint="eastAsia"/>
                <w:sz w:val="18"/>
                <w:szCs w:val="18"/>
              </w:rPr>
              <w:t>仪</w:t>
            </w:r>
          </w:p>
        </w:tc>
        <w:tc>
          <w:tcPr>
            <w:tcW w:w="1537" w:type="dxa"/>
            <w:vMerge w:val="restart"/>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JBY-YQ-01</w:t>
            </w:r>
          </w:p>
          <w:p w:rsidR="002E0378" w:rsidRDefault="005C380A">
            <w:pPr>
              <w:widowControl w:val="0"/>
              <w:spacing w:line="280" w:lineRule="exact"/>
              <w:rPr>
                <w:rFonts w:ascii="宋体" w:hAnsi="宋体" w:cs="宋体"/>
                <w:kern w:val="0"/>
                <w:sz w:val="18"/>
                <w:szCs w:val="18"/>
              </w:rPr>
            </w:pPr>
            <w:r>
              <w:rPr>
                <w:rFonts w:ascii="Times New Roman" w:hAnsi="Times New Roman" w:hint="eastAsia"/>
                <w:sz w:val="18"/>
                <w:szCs w:val="18"/>
              </w:rPr>
              <w:t>TAS-990</w:t>
            </w:r>
          </w:p>
        </w:tc>
        <w:tc>
          <w:tcPr>
            <w:tcW w:w="1103"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0.01mg/kg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六价铬</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土壤和沉积物六价铬的测定</w:t>
            </w:r>
            <w:r>
              <w:rPr>
                <w:rFonts w:ascii="Times New Roman" w:hAnsi="Times New Roman" w:hint="eastAsia"/>
                <w:sz w:val="18"/>
                <w:szCs w:val="18"/>
              </w:rPr>
              <w:t xml:space="preserve"> </w:t>
            </w:r>
            <w:r>
              <w:rPr>
                <w:rFonts w:ascii="Times New Roman" w:hAnsi="Times New Roman" w:hint="eastAsia"/>
                <w:sz w:val="18"/>
                <w:szCs w:val="18"/>
              </w:rPr>
              <w:t>碱溶液提取</w:t>
            </w:r>
            <w:r>
              <w:rPr>
                <w:rFonts w:ascii="Times New Roman" w:hAnsi="Times New Roman" w:hint="eastAsia"/>
                <w:sz w:val="18"/>
                <w:szCs w:val="18"/>
              </w:rPr>
              <w:t>-</w:t>
            </w:r>
            <w:r>
              <w:rPr>
                <w:rFonts w:ascii="Times New Roman" w:hAnsi="Times New Roman" w:hint="eastAsia"/>
                <w:sz w:val="18"/>
                <w:szCs w:val="18"/>
              </w:rPr>
              <w:t>火焰原子吸收分光光度法</w:t>
            </w:r>
            <w:r>
              <w:rPr>
                <w:rFonts w:ascii="Times New Roman" w:hAnsi="Times New Roman" w:hint="eastAsia"/>
                <w:sz w:val="18"/>
                <w:szCs w:val="18"/>
              </w:rPr>
              <w:t>HJ 1082-2019</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0.5mg/kg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铜</w:t>
            </w:r>
          </w:p>
        </w:tc>
        <w:tc>
          <w:tcPr>
            <w:tcW w:w="3000"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铜、锌、铅、镍、铬的测定</w:t>
            </w:r>
            <w:r>
              <w:rPr>
                <w:rFonts w:ascii="Times New Roman" w:hAnsi="Times New Roman"/>
                <w:sz w:val="18"/>
                <w:szCs w:val="18"/>
              </w:rPr>
              <w:t xml:space="preserve"> </w:t>
            </w:r>
            <w:r>
              <w:rPr>
                <w:rFonts w:ascii="Times New Roman" w:hAnsi="Times New Roman"/>
                <w:sz w:val="18"/>
                <w:szCs w:val="18"/>
              </w:rPr>
              <w:t>火焰原子吸收分光光度法</w:t>
            </w:r>
          </w:p>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 xml:space="preserve">HJ 491-2019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铅</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土壤质量</w:t>
            </w:r>
            <w:r>
              <w:rPr>
                <w:rFonts w:ascii="Times New Roman" w:hAnsi="Times New Roman"/>
                <w:sz w:val="18"/>
                <w:szCs w:val="18"/>
              </w:rPr>
              <w:t xml:space="preserve"> </w:t>
            </w:r>
            <w:r>
              <w:rPr>
                <w:rFonts w:ascii="Times New Roman" w:hAnsi="Times New Roman"/>
                <w:sz w:val="18"/>
                <w:szCs w:val="18"/>
              </w:rPr>
              <w:t>铅、镉的测定</w:t>
            </w:r>
            <w:r>
              <w:rPr>
                <w:rFonts w:ascii="Times New Roman" w:hAnsi="Times New Roman"/>
                <w:sz w:val="18"/>
                <w:szCs w:val="18"/>
              </w:rPr>
              <w:t xml:space="preserve"> </w:t>
            </w:r>
            <w:r>
              <w:rPr>
                <w:rFonts w:ascii="Times New Roman" w:hAnsi="Times New Roman"/>
                <w:sz w:val="18"/>
                <w:szCs w:val="18"/>
              </w:rPr>
              <w:t>石墨炉原子吸收分光光度法</w:t>
            </w:r>
            <w:r>
              <w:rPr>
                <w:rFonts w:ascii="Times New Roman" w:hAnsi="Times New Roman"/>
                <w:sz w:val="18"/>
                <w:szCs w:val="18"/>
              </w:rPr>
              <w:t xml:space="preserve">GB/T 7141-1997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0.1</w:t>
            </w:r>
            <w:r>
              <w:rPr>
                <w:rFonts w:ascii="Times New Roman" w:hAnsi="Times New Roman"/>
                <w:sz w:val="18"/>
                <w:szCs w:val="18"/>
              </w:rPr>
              <w:t>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汞</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汞、砷、硒、铋、锑的测定</w:t>
            </w:r>
            <w:r>
              <w:rPr>
                <w:rFonts w:ascii="Times New Roman" w:hAnsi="Times New Roman"/>
                <w:sz w:val="18"/>
                <w:szCs w:val="18"/>
              </w:rPr>
              <w:t xml:space="preserve"> </w:t>
            </w:r>
            <w:r>
              <w:rPr>
                <w:rFonts w:ascii="Times New Roman" w:hAnsi="Times New Roman"/>
                <w:sz w:val="18"/>
                <w:szCs w:val="18"/>
              </w:rPr>
              <w:t>微波消解</w:t>
            </w:r>
            <w:r>
              <w:rPr>
                <w:rFonts w:ascii="Times New Roman" w:hAnsi="Times New Roman"/>
                <w:sz w:val="18"/>
                <w:szCs w:val="18"/>
              </w:rPr>
              <w:t>/</w:t>
            </w:r>
            <w:r>
              <w:rPr>
                <w:rFonts w:ascii="Times New Roman" w:hAnsi="Times New Roman"/>
                <w:sz w:val="18"/>
                <w:szCs w:val="18"/>
              </w:rPr>
              <w:t>原子荧光法</w:t>
            </w:r>
            <w:r>
              <w:rPr>
                <w:rFonts w:ascii="Times New Roman" w:hAnsi="Times New Roman"/>
                <w:sz w:val="18"/>
                <w:szCs w:val="18"/>
              </w:rPr>
              <w:t>HJ 680-2013</w:t>
            </w:r>
          </w:p>
        </w:tc>
        <w:tc>
          <w:tcPr>
            <w:tcW w:w="1215"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原子荧光光度计</w:t>
            </w:r>
          </w:p>
        </w:tc>
        <w:tc>
          <w:tcPr>
            <w:tcW w:w="1537"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JBY-YQ-02</w:t>
            </w:r>
            <w:r>
              <w:rPr>
                <w:rFonts w:ascii="Times New Roman" w:hAnsi="Times New Roman" w:hint="eastAsia"/>
                <w:sz w:val="18"/>
                <w:szCs w:val="18"/>
              </w:rPr>
              <w:t>、</w:t>
            </w:r>
            <w:r>
              <w:rPr>
                <w:rFonts w:ascii="Times New Roman" w:hAnsi="Times New Roman"/>
                <w:sz w:val="18"/>
                <w:szCs w:val="18"/>
              </w:rPr>
              <w:t>AFS-8500</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0.002mg/kg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镍</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土壤质量</w:t>
            </w:r>
            <w:r>
              <w:rPr>
                <w:rFonts w:ascii="Times New Roman" w:hAnsi="Times New Roman" w:hint="eastAsia"/>
                <w:sz w:val="18"/>
                <w:szCs w:val="18"/>
              </w:rPr>
              <w:t xml:space="preserve"> </w:t>
            </w:r>
            <w:r>
              <w:rPr>
                <w:rFonts w:ascii="Times New Roman" w:hAnsi="Times New Roman" w:hint="eastAsia"/>
                <w:sz w:val="18"/>
                <w:szCs w:val="18"/>
              </w:rPr>
              <w:t>镍的测定</w:t>
            </w:r>
            <w:r>
              <w:rPr>
                <w:rFonts w:ascii="Times New Roman" w:hAnsi="Times New Roman" w:hint="eastAsia"/>
                <w:sz w:val="18"/>
                <w:szCs w:val="18"/>
              </w:rPr>
              <w:t xml:space="preserve"> </w:t>
            </w:r>
            <w:r>
              <w:rPr>
                <w:rFonts w:ascii="Times New Roman" w:hAnsi="Times New Roman" w:hint="eastAsia"/>
                <w:sz w:val="18"/>
                <w:szCs w:val="18"/>
              </w:rPr>
              <w:t>火焰原子吸收分光光度法</w:t>
            </w:r>
            <w:r>
              <w:rPr>
                <w:rFonts w:ascii="Times New Roman" w:hAnsi="Times New Roman" w:hint="eastAsia"/>
                <w:sz w:val="18"/>
                <w:szCs w:val="18"/>
              </w:rPr>
              <w:t xml:space="preserve"> GB/T 17139-1997</w:t>
            </w:r>
          </w:p>
        </w:tc>
        <w:tc>
          <w:tcPr>
            <w:tcW w:w="1215"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原子吸收分光光度</w:t>
            </w:r>
            <w:r>
              <w:rPr>
                <w:rFonts w:ascii="Times New Roman" w:hAnsi="Times New Roman" w:hint="eastAsia"/>
                <w:sz w:val="18"/>
                <w:szCs w:val="18"/>
              </w:rPr>
              <w:t>仪</w:t>
            </w:r>
          </w:p>
        </w:tc>
        <w:tc>
          <w:tcPr>
            <w:tcW w:w="1537"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JBY-YQ-01</w:t>
            </w:r>
            <w:r>
              <w:rPr>
                <w:rFonts w:ascii="Times New Roman" w:hAnsi="Times New Roman" w:hint="eastAsia"/>
                <w:sz w:val="18"/>
                <w:szCs w:val="18"/>
              </w:rPr>
              <w:t>、</w:t>
            </w:r>
            <w:r>
              <w:rPr>
                <w:rFonts w:ascii="Times New Roman" w:hAnsi="Times New Roman" w:hint="eastAsia"/>
                <w:sz w:val="18"/>
                <w:szCs w:val="18"/>
              </w:rPr>
              <w:t>TAS-990</w:t>
            </w:r>
            <w:r>
              <w:rPr>
                <w:rFonts w:ascii="Times New Roman" w:hAnsi="Times New Roman" w:hint="eastAsia"/>
                <w:sz w:val="18"/>
                <w:szCs w:val="18"/>
              </w:rPr>
              <w:t>；</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5</w:t>
            </w:r>
            <w:r>
              <w:rPr>
                <w:rFonts w:ascii="Times New Roman" w:hAnsi="Times New Roman"/>
                <w:sz w:val="18"/>
                <w:szCs w:val="18"/>
              </w:rPr>
              <w:t>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四氯化碳</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挥发性有机物的测定</w:t>
            </w:r>
            <w:r>
              <w:rPr>
                <w:rFonts w:ascii="Times New Roman" w:hAnsi="Times New Roman"/>
                <w:sz w:val="18"/>
                <w:szCs w:val="18"/>
              </w:rPr>
              <w:t xml:space="preserve"> </w:t>
            </w:r>
            <w:r>
              <w:rPr>
                <w:rFonts w:ascii="Times New Roman" w:hAnsi="Times New Roman"/>
                <w:sz w:val="18"/>
                <w:szCs w:val="18"/>
              </w:rPr>
              <w:t>顶空</w:t>
            </w:r>
            <w:r>
              <w:rPr>
                <w:rFonts w:ascii="Times New Roman" w:hAnsi="Times New Roman"/>
                <w:sz w:val="18"/>
                <w:szCs w:val="18"/>
              </w:rPr>
              <w:t>/</w:t>
            </w:r>
            <w:r>
              <w:rPr>
                <w:rFonts w:ascii="Times New Roman" w:hAnsi="Times New Roman"/>
                <w:sz w:val="18"/>
                <w:szCs w:val="18"/>
              </w:rPr>
              <w:t>气相色谱法</w:t>
            </w:r>
            <w:r>
              <w:rPr>
                <w:rFonts w:ascii="Times New Roman" w:hAnsi="Times New Roman"/>
                <w:sz w:val="18"/>
                <w:szCs w:val="18"/>
              </w:rPr>
              <w:t xml:space="preserve">HJ 741-2015 </w:t>
            </w:r>
          </w:p>
        </w:tc>
        <w:tc>
          <w:tcPr>
            <w:tcW w:w="1215"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气相色谱仪（</w:t>
            </w:r>
            <w:r>
              <w:rPr>
                <w:rFonts w:ascii="Times New Roman" w:hAnsi="Times New Roman"/>
                <w:sz w:val="18"/>
                <w:szCs w:val="18"/>
              </w:rPr>
              <w:t>FID</w:t>
            </w:r>
            <w:r>
              <w:rPr>
                <w:rFonts w:ascii="Times New Roman" w:hAnsi="Times New Roman"/>
                <w:sz w:val="18"/>
                <w:szCs w:val="18"/>
              </w:rPr>
              <w:t>）</w:t>
            </w:r>
          </w:p>
        </w:tc>
        <w:tc>
          <w:tcPr>
            <w:tcW w:w="1537"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JBY-YQ-04</w:t>
            </w:r>
            <w:r>
              <w:rPr>
                <w:rFonts w:ascii="Times New Roman" w:hAnsi="Times New Roman" w:hint="eastAsia"/>
                <w:sz w:val="18"/>
                <w:szCs w:val="18"/>
              </w:rPr>
              <w:t>、</w:t>
            </w:r>
            <w:r>
              <w:rPr>
                <w:rFonts w:ascii="Times New Roman" w:hAnsi="Times New Roman" w:hint="eastAsia"/>
                <w:sz w:val="18"/>
                <w:szCs w:val="18"/>
              </w:rPr>
              <w:t>GC9790plus</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0.03m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氯仿</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w:t>
            </w:r>
            <w:r>
              <w:rPr>
                <w:rFonts w:ascii="Times New Roman" w:hAnsi="Times New Roman" w:hint="eastAsia"/>
                <w:sz w:val="18"/>
                <w:szCs w:val="18"/>
              </w:rPr>
              <w:lastRenderedPageBreak/>
              <w:t>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氯甲烷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挥发性卤代烃的测定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736-2015</w:t>
            </w:r>
          </w:p>
        </w:tc>
        <w:tc>
          <w:tcPr>
            <w:tcW w:w="1215"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质谱联用仪</w:t>
            </w:r>
          </w:p>
        </w:tc>
        <w:tc>
          <w:tcPr>
            <w:tcW w:w="1537"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JBY-YQ-47</w:t>
            </w:r>
            <w:r>
              <w:rPr>
                <w:rFonts w:ascii="Times New Roman" w:hAnsi="Times New Roman" w:hint="eastAsia"/>
                <w:sz w:val="18"/>
                <w:szCs w:val="18"/>
              </w:rPr>
              <w:t>、</w:t>
            </w:r>
            <w:r>
              <w:rPr>
                <w:rFonts w:ascii="Times New Roman" w:hAnsi="Times New Roman"/>
                <w:sz w:val="18"/>
                <w:szCs w:val="18"/>
              </w:rPr>
              <w:t xml:space="preserve">5977B/8860GC </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0.003m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ind w:rightChars="-36" w:right="-76"/>
              <w:rPr>
                <w:rFonts w:ascii="Times New Roman" w:hAnsi="Times New Roman"/>
                <w:sz w:val="18"/>
                <w:szCs w:val="18"/>
              </w:rPr>
            </w:pPr>
            <w:r>
              <w:rPr>
                <w:rFonts w:ascii="Times New Roman" w:hAnsi="Times New Roman"/>
                <w:sz w:val="18"/>
                <w:szCs w:val="18"/>
              </w:rPr>
              <w:t>1,1</w:t>
            </w:r>
          </w:p>
          <w:p w:rsidR="002E0378" w:rsidRDefault="005C380A">
            <w:pPr>
              <w:widowControl w:val="0"/>
              <w:spacing w:line="280" w:lineRule="exact"/>
              <w:ind w:rightChars="-36" w:right="-76"/>
              <w:rPr>
                <w:rFonts w:ascii="Times New Roman" w:hAnsi="Times New Roman"/>
                <w:sz w:val="18"/>
                <w:szCs w:val="18"/>
              </w:rPr>
            </w:pPr>
            <w:r>
              <w:rPr>
                <w:rFonts w:ascii="Times New Roman" w:hAnsi="Times New Roman"/>
                <w:sz w:val="18"/>
                <w:szCs w:val="18"/>
              </w:rPr>
              <w:t>-</w:t>
            </w:r>
            <w:r>
              <w:rPr>
                <w:rFonts w:ascii="Times New Roman" w:hAnsi="Times New Roman"/>
                <w:sz w:val="18"/>
                <w:szCs w:val="18"/>
              </w:rPr>
              <w:t>二氯乙烷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气相色谱仪（</w:t>
            </w:r>
            <w:r>
              <w:rPr>
                <w:rFonts w:ascii="Times New Roman" w:hAnsi="Times New Roman"/>
                <w:sz w:val="18"/>
                <w:szCs w:val="18"/>
              </w:rPr>
              <w:t>FID</w:t>
            </w:r>
            <w:r>
              <w:rPr>
                <w:rFonts w:ascii="Times New Roman" w:hAnsi="Times New Roman"/>
                <w:sz w:val="18"/>
                <w:szCs w:val="18"/>
              </w:rPr>
              <w:t>）</w:t>
            </w:r>
          </w:p>
        </w:tc>
        <w:tc>
          <w:tcPr>
            <w:tcW w:w="1537"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JBY-YQ-04</w:t>
            </w:r>
            <w:r>
              <w:rPr>
                <w:rFonts w:ascii="Times New Roman" w:hAnsi="Times New Roman" w:hint="eastAsia"/>
                <w:sz w:val="18"/>
                <w:szCs w:val="18"/>
              </w:rPr>
              <w:t>、</w:t>
            </w:r>
            <w:r>
              <w:rPr>
                <w:rFonts w:ascii="Times New Roman" w:hAnsi="Times New Roman" w:hint="eastAsia"/>
                <w:sz w:val="18"/>
                <w:szCs w:val="18"/>
              </w:rPr>
              <w:t>GC9790plus</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0.01m</w:t>
            </w:r>
            <w:r>
              <w:rPr>
                <w:rFonts w:ascii="Times New Roman" w:hAnsi="Times New Roman"/>
                <w:sz w:val="18"/>
                <w:szCs w:val="18"/>
              </w:rPr>
              <w:t>g/kg</w:t>
            </w:r>
          </w:p>
        </w:tc>
      </w:tr>
      <w:tr w:rsidR="002E0378">
        <w:trPr>
          <w:trHeight w:val="440"/>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1,1-</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挥发性卤代烃的测定</w:t>
            </w:r>
            <w:r>
              <w:rPr>
                <w:rFonts w:ascii="Times New Roman" w:hAnsi="Times New Roman"/>
                <w:sz w:val="18"/>
                <w:szCs w:val="18"/>
              </w:rPr>
              <w:t xml:space="preserve"> </w:t>
            </w:r>
            <w:r>
              <w:rPr>
                <w:rFonts w:ascii="Times New Roman" w:hAnsi="Times New Roman"/>
                <w:sz w:val="18"/>
                <w:szCs w:val="18"/>
              </w:rPr>
              <w:t>顶空</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 xml:space="preserve">HJ 736-2015 </w:t>
            </w:r>
          </w:p>
        </w:tc>
        <w:tc>
          <w:tcPr>
            <w:tcW w:w="1215"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质谱联用仪</w:t>
            </w:r>
          </w:p>
        </w:tc>
        <w:tc>
          <w:tcPr>
            <w:tcW w:w="1537"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JBY-YQ-47</w:t>
            </w:r>
            <w:r>
              <w:rPr>
                <w:rFonts w:ascii="Times New Roman" w:hAnsi="Times New Roman" w:hint="eastAsia"/>
                <w:sz w:val="18"/>
                <w:szCs w:val="18"/>
              </w:rPr>
              <w:t>、</w:t>
            </w:r>
            <w:r>
              <w:rPr>
                <w:rFonts w:ascii="Times New Roman" w:hAnsi="Times New Roman"/>
                <w:sz w:val="18"/>
                <w:szCs w:val="18"/>
              </w:rPr>
              <w:t xml:space="preserve">5977B/8860GC </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顺</w:t>
            </w:r>
            <w:r>
              <w:rPr>
                <w:rFonts w:ascii="Times New Roman" w:hAnsi="Times New Roman"/>
                <w:sz w:val="18"/>
                <w:szCs w:val="18"/>
              </w:rPr>
              <w:t>-1,2-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气相色谱仪（</w:t>
            </w:r>
            <w:r>
              <w:rPr>
                <w:rFonts w:ascii="Times New Roman" w:hAnsi="Times New Roman"/>
                <w:sz w:val="18"/>
                <w:szCs w:val="18"/>
              </w:rPr>
              <w:t>FID</w:t>
            </w:r>
            <w:r>
              <w:rPr>
                <w:rFonts w:ascii="Times New Roman" w:hAnsi="Times New Roman"/>
                <w:sz w:val="18"/>
                <w:szCs w:val="18"/>
              </w:rPr>
              <w:t>）</w:t>
            </w:r>
          </w:p>
        </w:tc>
        <w:tc>
          <w:tcPr>
            <w:tcW w:w="1537"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JBY-YQ-04</w:t>
            </w:r>
            <w:r>
              <w:rPr>
                <w:rFonts w:ascii="Times New Roman" w:hAnsi="Times New Roman" w:hint="eastAsia"/>
                <w:sz w:val="18"/>
                <w:szCs w:val="18"/>
              </w:rPr>
              <w:t>、</w:t>
            </w:r>
            <w:r>
              <w:rPr>
                <w:rFonts w:ascii="Times New Roman" w:hAnsi="Times New Roman" w:hint="eastAsia"/>
                <w:sz w:val="18"/>
                <w:szCs w:val="18"/>
              </w:rPr>
              <w:t>GC9790plus</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0.008m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反</w:t>
            </w:r>
            <w:r>
              <w:rPr>
                <w:rFonts w:ascii="Times New Roman" w:hAnsi="Times New Roman"/>
                <w:sz w:val="18"/>
                <w:szCs w:val="18"/>
              </w:rPr>
              <w:t>-1,2-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二氯甲烷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二氯丙烷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0.008m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1,1,1,2-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四氯乙烷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1,1,2,2-</w:t>
            </w:r>
            <w:r>
              <w:rPr>
                <w:rFonts w:ascii="Times New Roman" w:hAnsi="Times New Roman"/>
                <w:sz w:val="18"/>
                <w:szCs w:val="18"/>
              </w:rPr>
              <w:t>四氯乙烷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四氯乙烯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1,1,1-</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三氯乙烷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1,1,2-</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三氯乙烷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三氯乙烯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0.009m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1,2,3-</w:t>
            </w:r>
          </w:p>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三氯丙烷</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0.01m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氯苯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0.005m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1,2-</w:t>
            </w:r>
            <w:r>
              <w:rPr>
                <w:rFonts w:ascii="Times New Roman" w:hAnsi="Times New Roman"/>
                <w:sz w:val="18"/>
                <w:szCs w:val="18"/>
              </w:rPr>
              <w:t>二氯苯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1,4-</w:t>
            </w:r>
            <w:r>
              <w:rPr>
                <w:rFonts w:ascii="Times New Roman" w:hAnsi="Times New Roman"/>
                <w:sz w:val="18"/>
                <w:szCs w:val="18"/>
              </w:rPr>
              <w:t>二氯苯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0.008m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乙苯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0.006m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苯乙烯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甲苯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w:t>
            </w:r>
            <w:r>
              <w:rPr>
                <w:rFonts w:ascii="Times New Roman" w:hAnsi="Times New Roman" w:hint="eastAsia"/>
                <w:sz w:val="18"/>
                <w:szCs w:val="18"/>
              </w:rPr>
              <w:lastRenderedPageBreak/>
              <w:t>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0.006m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ind w:rightChars="-36" w:right="-76"/>
              <w:rPr>
                <w:rFonts w:ascii="Times New Roman" w:hAnsi="Times New Roman"/>
                <w:sz w:val="18"/>
                <w:szCs w:val="18"/>
              </w:rPr>
            </w:pPr>
            <w:r>
              <w:rPr>
                <w:rFonts w:ascii="Times New Roman" w:hAnsi="Times New Roman"/>
                <w:sz w:val="18"/>
                <w:szCs w:val="18"/>
              </w:rPr>
              <w:t>间二甲苯</w:t>
            </w:r>
            <w:r>
              <w:rPr>
                <w:rFonts w:ascii="Times New Roman" w:hAnsi="Times New Roman"/>
                <w:sz w:val="18"/>
                <w:szCs w:val="18"/>
              </w:rPr>
              <w:t>+</w:t>
            </w:r>
            <w:r>
              <w:rPr>
                <w:rFonts w:ascii="Times New Roman" w:hAnsi="Times New Roman"/>
                <w:sz w:val="18"/>
                <w:szCs w:val="18"/>
              </w:rPr>
              <w:t>对二甲苯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0.009m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邻二甲苯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挥发性有机物的测定</w:t>
            </w:r>
            <w:r>
              <w:rPr>
                <w:rFonts w:ascii="Times New Roman" w:hAnsi="Times New Roman" w:hint="eastAsia"/>
                <w:sz w:val="18"/>
                <w:szCs w:val="18"/>
              </w:rPr>
              <w:t xml:space="preserve"> </w:t>
            </w:r>
            <w:r>
              <w:rPr>
                <w:rFonts w:ascii="Times New Roman" w:hAnsi="Times New Roman" w:hint="eastAsia"/>
                <w:sz w:val="18"/>
                <w:szCs w:val="18"/>
              </w:rPr>
              <w:t>顶空</w:t>
            </w:r>
            <w:r>
              <w:rPr>
                <w:rFonts w:ascii="Times New Roman" w:hAnsi="Times New Roman" w:hint="eastAsia"/>
                <w:sz w:val="18"/>
                <w:szCs w:val="18"/>
              </w:rPr>
              <w:t>/</w:t>
            </w:r>
            <w:r>
              <w:rPr>
                <w:rFonts w:ascii="Times New Roman" w:hAnsi="Times New Roman" w:hint="eastAsia"/>
                <w:sz w:val="18"/>
                <w:szCs w:val="18"/>
              </w:rPr>
              <w:t>气相色谱法</w:t>
            </w:r>
            <w:r>
              <w:rPr>
                <w:rFonts w:ascii="Times New Roman" w:hAnsi="Times New Roman" w:hint="eastAsia"/>
                <w:sz w:val="18"/>
                <w:szCs w:val="18"/>
              </w:rPr>
              <w:t xml:space="preserve">HJ 741-2015 </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0.02m</w:t>
            </w:r>
            <w:r>
              <w:rPr>
                <w:rFonts w:ascii="Times New Roman" w:hAnsi="Times New Roman"/>
                <w:sz w:val="18"/>
                <w:szCs w:val="18"/>
              </w:rPr>
              <w:t>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硝基苯</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半挥发性有机物的测定</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 xml:space="preserve"> HJ 834-2017</w:t>
            </w:r>
          </w:p>
        </w:tc>
        <w:tc>
          <w:tcPr>
            <w:tcW w:w="1215"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质谱联用仪</w:t>
            </w:r>
          </w:p>
        </w:tc>
        <w:tc>
          <w:tcPr>
            <w:tcW w:w="1537" w:type="dxa"/>
            <w:vMerge w:val="restart"/>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JBY-YQ-47</w:t>
            </w:r>
            <w:r>
              <w:rPr>
                <w:rFonts w:ascii="Times New Roman" w:hAnsi="Times New Roman" w:hint="eastAsia"/>
                <w:sz w:val="18"/>
                <w:szCs w:val="18"/>
              </w:rPr>
              <w:t>、</w:t>
            </w:r>
            <w:r>
              <w:rPr>
                <w:rFonts w:ascii="Times New Roman" w:hAnsi="Times New Roman"/>
                <w:sz w:val="18"/>
                <w:szCs w:val="18"/>
              </w:rPr>
              <w:t xml:space="preserve">5977B/8860GC </w:t>
            </w: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0.09mg/kg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苯胺</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半挥发性有机物的测定</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2-</w:t>
            </w:r>
            <w:r>
              <w:rPr>
                <w:rFonts w:ascii="Times New Roman" w:hAnsi="Times New Roman"/>
                <w:sz w:val="18"/>
                <w:szCs w:val="18"/>
              </w:rPr>
              <w:t>氯酚</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半挥发性有机物的测定</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0.06mg/kg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苯并</w:t>
            </w:r>
            <w:r>
              <w:rPr>
                <w:rFonts w:ascii="Times New Roman" w:hAnsi="Times New Roman"/>
                <w:sz w:val="18"/>
                <w:szCs w:val="18"/>
              </w:rPr>
              <w:t>[a]</w:t>
            </w:r>
            <w:r>
              <w:rPr>
                <w:rFonts w:ascii="Times New Roman" w:hAnsi="Times New Roman"/>
                <w:sz w:val="18"/>
                <w:szCs w:val="18"/>
              </w:rPr>
              <w:t>蒽</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半挥发性有机物的测定</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苯并</w:t>
            </w:r>
            <w:r>
              <w:rPr>
                <w:rFonts w:ascii="Times New Roman" w:hAnsi="Times New Roman"/>
                <w:sz w:val="18"/>
                <w:szCs w:val="18"/>
              </w:rPr>
              <w:t>[a]</w:t>
            </w:r>
            <w:r>
              <w:rPr>
                <w:rFonts w:ascii="Times New Roman" w:hAnsi="Times New Roman"/>
                <w:sz w:val="18"/>
                <w:szCs w:val="18"/>
              </w:rPr>
              <w:t>芘</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土壤和沉积物</w:t>
            </w:r>
            <w:r>
              <w:rPr>
                <w:rFonts w:ascii="Times New Roman" w:hAnsi="Times New Roman"/>
                <w:sz w:val="18"/>
                <w:szCs w:val="18"/>
              </w:rPr>
              <w:t xml:space="preserve"> </w:t>
            </w:r>
            <w:r>
              <w:rPr>
                <w:rFonts w:ascii="Times New Roman" w:hAnsi="Times New Roman"/>
                <w:sz w:val="18"/>
                <w:szCs w:val="18"/>
              </w:rPr>
              <w:t>半挥发性有机物的测定</w:t>
            </w:r>
            <w:r>
              <w:rPr>
                <w:rFonts w:ascii="Times New Roman" w:hAnsi="Times New Roman"/>
                <w:sz w:val="18"/>
                <w:szCs w:val="18"/>
              </w:rPr>
              <w:t xml:space="preserve"> </w:t>
            </w:r>
            <w:r>
              <w:rPr>
                <w:rFonts w:ascii="Times New Roman" w:hAnsi="Times New Roman"/>
                <w:sz w:val="18"/>
                <w:szCs w:val="18"/>
              </w:rPr>
              <w:t>气相色谱</w:t>
            </w:r>
            <w:r>
              <w:rPr>
                <w:rFonts w:ascii="Times New Roman" w:hAnsi="Times New Roman"/>
                <w:sz w:val="18"/>
                <w:szCs w:val="18"/>
              </w:rPr>
              <w:t>-</w:t>
            </w:r>
            <w:r>
              <w:rPr>
                <w:rFonts w:ascii="Times New Roman" w:hAnsi="Times New Roman"/>
                <w:sz w:val="18"/>
                <w:szCs w:val="18"/>
              </w:rPr>
              <w:t>质谱法</w:t>
            </w:r>
            <w:r>
              <w:rPr>
                <w:rFonts w:ascii="Times New Roman" w:hAnsi="Times New Roman"/>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苯并</w:t>
            </w:r>
            <w:r>
              <w:rPr>
                <w:rFonts w:ascii="Times New Roman" w:hAnsi="Times New Roman"/>
                <w:sz w:val="18"/>
                <w:szCs w:val="18"/>
              </w:rPr>
              <w:t>[b]</w:t>
            </w:r>
            <w:r>
              <w:rPr>
                <w:rFonts w:ascii="Times New Roman" w:hAnsi="Times New Roman"/>
                <w:sz w:val="18"/>
                <w:szCs w:val="18"/>
              </w:rPr>
              <w:t>荧蒽</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w:t>
            </w:r>
            <w:r>
              <w:rPr>
                <w:rFonts w:ascii="Times New Roman" w:hAnsi="Times New Roman" w:hint="eastAsia"/>
                <w:sz w:val="18"/>
                <w:szCs w:val="18"/>
              </w:rPr>
              <w:t>2</w:t>
            </w:r>
            <w:r>
              <w:rPr>
                <w:rFonts w:ascii="Times New Roman" w:hAnsi="Times New Roman"/>
                <w:sz w:val="18"/>
                <w:szCs w:val="18"/>
              </w:rPr>
              <w:t>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苯并</w:t>
            </w:r>
            <w:r>
              <w:rPr>
                <w:rFonts w:ascii="Times New Roman" w:hAnsi="Times New Roman"/>
                <w:sz w:val="18"/>
                <w:szCs w:val="18"/>
              </w:rPr>
              <w:t>[k]</w:t>
            </w:r>
            <w:r>
              <w:rPr>
                <w:rFonts w:ascii="Times New Roman" w:hAnsi="Times New Roman"/>
                <w:sz w:val="18"/>
                <w:szCs w:val="18"/>
              </w:rPr>
              <w:t>荧蒽</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sz w:val="18"/>
                <w:szCs w:val="18"/>
              </w:rPr>
            </w:pPr>
          </w:p>
        </w:tc>
        <w:tc>
          <w:tcPr>
            <w:tcW w:w="1537" w:type="dxa"/>
            <w:vMerge/>
            <w:vAlign w:val="center"/>
          </w:tcPr>
          <w:p w:rsidR="002E0378" w:rsidRDefault="002E0378">
            <w:pPr>
              <w:widowControl w:val="0"/>
              <w:spacing w:line="280" w:lineRule="exact"/>
              <w:rPr>
                <w:sz w:val="18"/>
                <w:szCs w:val="18"/>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widowControl w:val="0"/>
              <w:spacing w:line="280" w:lineRule="exact"/>
              <w:rPr>
                <w:rFonts w:ascii="Times New Roman" w:hAnsi="Times New Roman"/>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䓛</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pStyle w:val="112"/>
              <w:spacing w:line="280" w:lineRule="exact"/>
              <w:ind w:firstLine="360"/>
              <w:jc w:val="center"/>
              <w:rPr>
                <w:color w:val="auto"/>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二苯并</w:t>
            </w:r>
            <w:r>
              <w:rPr>
                <w:rFonts w:ascii="Times New Roman" w:hAnsi="Times New Roman"/>
                <w:sz w:val="18"/>
                <w:szCs w:val="18"/>
              </w:rPr>
              <w:t>[a</w:t>
            </w:r>
            <w:r>
              <w:rPr>
                <w:rFonts w:ascii="Times New Roman" w:hAnsi="Times New Roman"/>
                <w:sz w:val="18"/>
                <w:szCs w:val="18"/>
              </w:rPr>
              <w:t>，</w:t>
            </w:r>
            <w:r>
              <w:rPr>
                <w:rFonts w:ascii="Times New Roman" w:hAnsi="Times New Roman"/>
                <w:sz w:val="18"/>
                <w:szCs w:val="18"/>
              </w:rPr>
              <w:t>h]</w:t>
            </w:r>
            <w:r>
              <w:rPr>
                <w:rFonts w:ascii="Times New Roman" w:hAnsi="Times New Roman"/>
                <w:sz w:val="18"/>
                <w:szCs w:val="18"/>
              </w:rPr>
              <w:t>蒽</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pStyle w:val="112"/>
              <w:spacing w:line="280" w:lineRule="exact"/>
              <w:ind w:firstLine="360"/>
              <w:jc w:val="center"/>
              <w:rPr>
                <w:color w:val="auto"/>
                <w:sz w:val="18"/>
                <w:szCs w:val="18"/>
              </w:rPr>
            </w:pPr>
          </w:p>
        </w:tc>
        <w:tc>
          <w:tcPr>
            <w:tcW w:w="955" w:type="dxa"/>
            <w:vAlign w:val="center"/>
          </w:tcPr>
          <w:p w:rsidR="002E0378" w:rsidRDefault="005C380A">
            <w:pPr>
              <w:widowControl w:val="0"/>
              <w:spacing w:line="280" w:lineRule="exact"/>
              <w:ind w:leftChars="-100" w:left="-210" w:rightChars="-36" w:right="-76"/>
              <w:rPr>
                <w:rFonts w:ascii="Times New Roman" w:hAnsi="Times New Roman"/>
                <w:sz w:val="18"/>
                <w:szCs w:val="18"/>
              </w:rPr>
            </w:pPr>
            <w:r>
              <w:rPr>
                <w:rFonts w:ascii="Times New Roman" w:hAnsi="Times New Roman" w:hint="eastAsia"/>
                <w:sz w:val="18"/>
                <w:szCs w:val="18"/>
              </w:rPr>
              <w:t xml:space="preserve"> </w:t>
            </w:r>
            <w:r>
              <w:rPr>
                <w:rFonts w:ascii="Times New Roman" w:hAnsi="Times New Roman"/>
                <w:sz w:val="18"/>
                <w:szCs w:val="18"/>
              </w:rPr>
              <w:t>茚并</w:t>
            </w:r>
            <w:r>
              <w:rPr>
                <w:rFonts w:ascii="Times New Roman" w:hAnsi="Times New Roman" w:hint="eastAsia"/>
                <w:sz w:val="18"/>
                <w:szCs w:val="18"/>
              </w:rPr>
              <w:t xml:space="preserve">     </w:t>
            </w:r>
          </w:p>
          <w:p w:rsidR="002E0378" w:rsidRDefault="005C380A">
            <w:pPr>
              <w:widowControl w:val="0"/>
              <w:spacing w:line="280" w:lineRule="exact"/>
              <w:ind w:leftChars="-100" w:left="-210" w:rightChars="-36" w:right="-76"/>
              <w:rPr>
                <w:rFonts w:ascii="Times New Roman" w:hAnsi="Times New Roman"/>
                <w:sz w:val="18"/>
                <w:szCs w:val="18"/>
              </w:rPr>
            </w:pPr>
            <w:r>
              <w:rPr>
                <w:rFonts w:ascii="Times New Roman" w:hAnsi="Times New Roman" w:hint="eastAsia"/>
                <w:sz w:val="18"/>
                <w:szCs w:val="18"/>
              </w:rPr>
              <w:t xml:space="preserve">  </w:t>
            </w:r>
            <w:r>
              <w:rPr>
                <w:rFonts w:ascii="Times New Roman" w:hAnsi="Times New Roman"/>
                <w:sz w:val="18"/>
                <w:szCs w:val="18"/>
              </w:rPr>
              <w:t>[1,2,3-cd]</w:t>
            </w:r>
            <w:r>
              <w:rPr>
                <w:rFonts w:ascii="Times New Roman" w:hAnsi="Times New Roman"/>
                <w:sz w:val="18"/>
                <w:szCs w:val="18"/>
              </w:rPr>
              <w:t>芘</w:t>
            </w:r>
          </w:p>
        </w:tc>
        <w:tc>
          <w:tcPr>
            <w:tcW w:w="3000"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537" w:type="dxa"/>
            <w:vMerge/>
            <w:vAlign w:val="center"/>
          </w:tcPr>
          <w:p w:rsidR="002E0378" w:rsidRDefault="002E0378">
            <w:pPr>
              <w:widowControl w:val="0"/>
              <w:spacing w:line="280" w:lineRule="exact"/>
              <w:rPr>
                <w:rFonts w:ascii="TimesNewRomanPSMT" w:eastAsia="TimesNewRomanPSMT" w:hAnsi="TimesNewRomanPSMT" w:cs="TimesNewRomanPSMT"/>
                <w:kern w:val="0"/>
                <w:sz w:val="18"/>
                <w:szCs w:val="18"/>
                <w:lang w:bidi="ar"/>
              </w:rPr>
            </w:pPr>
          </w:p>
        </w:tc>
        <w:tc>
          <w:tcPr>
            <w:tcW w:w="1103" w:type="dxa"/>
            <w:vAlign w:val="center"/>
          </w:tcPr>
          <w:p w:rsidR="002E0378" w:rsidRDefault="005C380A">
            <w:pPr>
              <w:widowControl w:val="0"/>
              <w:spacing w:line="280" w:lineRule="exact"/>
              <w:rPr>
                <w:rFonts w:ascii="TimesNewRomanPSMT" w:eastAsia="TimesNewRomanPSMT" w:hAnsi="TimesNewRomanPSMT" w:cs="TimesNewRomanPSMT"/>
                <w:kern w:val="0"/>
                <w:sz w:val="18"/>
                <w:szCs w:val="18"/>
                <w:lang w:bidi="ar"/>
              </w:rPr>
            </w:pPr>
            <w:r>
              <w:rPr>
                <w:rFonts w:ascii="Times New Roman" w:hAnsi="Times New Roman"/>
                <w:sz w:val="18"/>
                <w:szCs w:val="18"/>
              </w:rPr>
              <w:t>0.1mg/kg</w:t>
            </w:r>
          </w:p>
        </w:tc>
      </w:tr>
      <w:tr w:rsidR="002E0378">
        <w:trPr>
          <w:trHeight w:val="23"/>
        </w:trPr>
        <w:tc>
          <w:tcPr>
            <w:tcW w:w="718" w:type="dxa"/>
            <w:vMerge/>
            <w:vAlign w:val="center"/>
          </w:tcPr>
          <w:p w:rsidR="002E0378" w:rsidRDefault="002E0378">
            <w:pPr>
              <w:pStyle w:val="112"/>
              <w:spacing w:line="280" w:lineRule="exact"/>
              <w:ind w:firstLine="360"/>
              <w:jc w:val="center"/>
              <w:rPr>
                <w:color w:val="auto"/>
                <w:sz w:val="18"/>
                <w:szCs w:val="18"/>
              </w:rPr>
            </w:pPr>
          </w:p>
        </w:tc>
        <w:tc>
          <w:tcPr>
            <w:tcW w:w="955"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萘</w:t>
            </w:r>
          </w:p>
        </w:tc>
        <w:tc>
          <w:tcPr>
            <w:tcW w:w="3000"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hint="eastAsia"/>
                <w:sz w:val="18"/>
                <w:szCs w:val="18"/>
              </w:rPr>
              <w:t>土壤和沉积物</w:t>
            </w:r>
            <w:r>
              <w:rPr>
                <w:rFonts w:ascii="Times New Roman" w:hAnsi="Times New Roman" w:hint="eastAsia"/>
                <w:sz w:val="18"/>
                <w:szCs w:val="18"/>
              </w:rPr>
              <w:t xml:space="preserve"> </w:t>
            </w:r>
            <w:r>
              <w:rPr>
                <w:rFonts w:ascii="Times New Roman" w:hAnsi="Times New Roman" w:hint="eastAsia"/>
                <w:sz w:val="18"/>
                <w:szCs w:val="18"/>
              </w:rPr>
              <w:t>半挥发性有机物的测定</w:t>
            </w:r>
            <w:r>
              <w:rPr>
                <w:rFonts w:ascii="Times New Roman" w:hAnsi="Times New Roman" w:hint="eastAsia"/>
                <w:sz w:val="18"/>
                <w:szCs w:val="18"/>
              </w:rPr>
              <w:t xml:space="preserve"> </w:t>
            </w:r>
            <w:r>
              <w:rPr>
                <w:rFonts w:ascii="Times New Roman" w:hAnsi="Times New Roman" w:hint="eastAsia"/>
                <w:sz w:val="18"/>
                <w:szCs w:val="18"/>
              </w:rPr>
              <w:t>气相色谱</w:t>
            </w:r>
            <w:r>
              <w:rPr>
                <w:rFonts w:ascii="Times New Roman" w:hAnsi="Times New Roman" w:hint="eastAsia"/>
                <w:sz w:val="18"/>
                <w:szCs w:val="18"/>
              </w:rPr>
              <w:t>-</w:t>
            </w:r>
            <w:r>
              <w:rPr>
                <w:rFonts w:ascii="Times New Roman" w:hAnsi="Times New Roman" w:hint="eastAsia"/>
                <w:sz w:val="18"/>
                <w:szCs w:val="18"/>
              </w:rPr>
              <w:t>质谱法</w:t>
            </w:r>
            <w:r>
              <w:rPr>
                <w:rFonts w:ascii="Times New Roman" w:hAnsi="Times New Roman" w:hint="eastAsia"/>
                <w:sz w:val="18"/>
                <w:szCs w:val="18"/>
              </w:rPr>
              <w:t>HJ 834-2017</w:t>
            </w:r>
          </w:p>
        </w:tc>
        <w:tc>
          <w:tcPr>
            <w:tcW w:w="1215" w:type="dxa"/>
            <w:vMerge/>
            <w:vAlign w:val="center"/>
          </w:tcPr>
          <w:p w:rsidR="002E0378" w:rsidRDefault="002E0378">
            <w:pPr>
              <w:widowControl w:val="0"/>
              <w:spacing w:line="280" w:lineRule="exact"/>
              <w:rPr>
                <w:rFonts w:ascii="Times New Roman" w:hAnsi="Times New Roman"/>
                <w:sz w:val="18"/>
                <w:szCs w:val="18"/>
              </w:rPr>
            </w:pPr>
          </w:p>
        </w:tc>
        <w:tc>
          <w:tcPr>
            <w:tcW w:w="1537" w:type="dxa"/>
            <w:vMerge/>
            <w:vAlign w:val="center"/>
          </w:tcPr>
          <w:p w:rsidR="002E0378" w:rsidRDefault="002E0378">
            <w:pPr>
              <w:widowControl w:val="0"/>
              <w:spacing w:line="280" w:lineRule="exact"/>
              <w:rPr>
                <w:rFonts w:ascii="Times New Roman" w:hAnsi="Times New Roman"/>
                <w:sz w:val="18"/>
                <w:szCs w:val="18"/>
              </w:rPr>
            </w:pPr>
          </w:p>
        </w:tc>
        <w:tc>
          <w:tcPr>
            <w:tcW w:w="1103" w:type="dxa"/>
            <w:vAlign w:val="center"/>
          </w:tcPr>
          <w:p w:rsidR="002E0378" w:rsidRDefault="005C380A">
            <w:pPr>
              <w:widowControl w:val="0"/>
              <w:spacing w:line="280" w:lineRule="exact"/>
              <w:rPr>
                <w:rFonts w:ascii="Times New Roman" w:hAnsi="Times New Roman"/>
                <w:sz w:val="18"/>
                <w:szCs w:val="18"/>
              </w:rPr>
            </w:pPr>
            <w:r>
              <w:rPr>
                <w:rFonts w:ascii="Times New Roman" w:hAnsi="Times New Roman"/>
                <w:sz w:val="18"/>
                <w:szCs w:val="18"/>
              </w:rPr>
              <w:t>0.09mg/kg</w:t>
            </w:r>
          </w:p>
        </w:tc>
      </w:tr>
    </w:tbl>
    <w:p w:rsidR="002E0378" w:rsidRDefault="005C380A">
      <w:pPr>
        <w:pStyle w:val="a4"/>
        <w:ind w:firstLineChars="0" w:firstLine="0"/>
        <w:jc w:val="center"/>
        <w:rPr>
          <w:rFonts w:ascii="宋体" w:hAnsi="宋体"/>
        </w:rPr>
      </w:pPr>
      <w:r>
        <w:rPr>
          <w:rFonts w:hint="eastAsia"/>
          <w:b/>
          <w:bCs/>
        </w:rPr>
        <w:t>表</w:t>
      </w:r>
      <w:r>
        <w:rPr>
          <w:rFonts w:hint="eastAsia"/>
          <w:b/>
          <w:bCs/>
        </w:rPr>
        <w:t xml:space="preserve">5-4  </w:t>
      </w:r>
      <w:r>
        <w:rPr>
          <w:rFonts w:hint="eastAsia"/>
          <w:b/>
          <w:bCs/>
        </w:rPr>
        <w:t>地下水实验室检测方法</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3"/>
        <w:gridCol w:w="7007"/>
      </w:tblGrid>
      <w:tr w:rsidR="002E0378">
        <w:trPr>
          <w:trHeight w:val="70"/>
          <w:jc w:val="center"/>
        </w:trPr>
        <w:tc>
          <w:tcPr>
            <w:tcW w:w="1513" w:type="dxa"/>
            <w:tcBorders>
              <w:tl2br w:val="nil"/>
              <w:tr2bl w:val="nil"/>
            </w:tcBorders>
            <w:noWrap/>
            <w:vAlign w:val="center"/>
          </w:tcPr>
          <w:p w:rsidR="002E0378" w:rsidRDefault="005C380A">
            <w:pPr>
              <w:spacing w:line="240" w:lineRule="exact"/>
              <w:rPr>
                <w:sz w:val="18"/>
                <w:szCs w:val="18"/>
              </w:rPr>
            </w:pPr>
            <w:r>
              <w:rPr>
                <w:rFonts w:hint="eastAsia"/>
                <w:sz w:val="18"/>
                <w:szCs w:val="18"/>
              </w:rPr>
              <w:t>检测项目</w:t>
            </w:r>
          </w:p>
        </w:tc>
        <w:tc>
          <w:tcPr>
            <w:tcW w:w="7007" w:type="dxa"/>
            <w:tcBorders>
              <w:tl2br w:val="nil"/>
              <w:tr2bl w:val="nil"/>
            </w:tcBorders>
            <w:noWrap/>
            <w:vAlign w:val="center"/>
          </w:tcPr>
          <w:p w:rsidR="002E0378" w:rsidRDefault="005C380A">
            <w:pPr>
              <w:spacing w:line="240" w:lineRule="exact"/>
              <w:rPr>
                <w:sz w:val="18"/>
                <w:szCs w:val="18"/>
              </w:rPr>
            </w:pPr>
            <w:r>
              <w:rPr>
                <w:rFonts w:hint="eastAsia"/>
                <w:sz w:val="18"/>
                <w:szCs w:val="18"/>
              </w:rPr>
              <w:t>分析方法</w:t>
            </w:r>
          </w:p>
        </w:tc>
      </w:tr>
      <w:tr w:rsidR="002E0378">
        <w:trPr>
          <w:trHeight w:val="310"/>
          <w:jc w:val="center"/>
        </w:trPr>
        <w:tc>
          <w:tcPr>
            <w:tcW w:w="1513" w:type="dxa"/>
            <w:tcBorders>
              <w:tl2br w:val="nil"/>
              <w:tr2bl w:val="nil"/>
            </w:tcBorders>
            <w:noWrap/>
            <w:vAlign w:val="center"/>
          </w:tcPr>
          <w:p w:rsidR="002E0378" w:rsidRDefault="005C380A">
            <w:pPr>
              <w:tabs>
                <w:tab w:val="left" w:pos="900"/>
              </w:tabs>
              <w:rPr>
                <w:rFonts w:asciiTheme="minorHAnsi" w:eastAsiaTheme="minorEastAsia" w:hAnsiTheme="minorHAnsi" w:cstheme="minorBidi"/>
                <w:szCs w:val="24"/>
                <w:u w:color="FFFFFF"/>
              </w:rPr>
            </w:pPr>
            <w:r>
              <w:rPr>
                <w:rFonts w:ascii="宋体" w:hAnsi="宋体" w:cs="宋体" w:hint="eastAsia"/>
                <w:color w:val="000000"/>
                <w:kern w:val="0"/>
              </w:rPr>
              <w:t>浑浊度</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水质</w:t>
            </w:r>
            <w:r>
              <w:rPr>
                <w:rFonts w:ascii="Times New Roman" w:hAnsi="Times New Roman"/>
                <w:sz w:val="18"/>
                <w:szCs w:val="18"/>
              </w:rPr>
              <w:t xml:space="preserve"> </w:t>
            </w:r>
            <w:r>
              <w:rPr>
                <w:rFonts w:ascii="Times New Roman" w:hAnsi="Times New Roman"/>
                <w:sz w:val="18"/>
                <w:szCs w:val="18"/>
              </w:rPr>
              <w:t>浊度的测定</w:t>
            </w:r>
            <w:r>
              <w:rPr>
                <w:rFonts w:ascii="Times New Roman" w:hAnsi="Times New Roman"/>
                <w:sz w:val="18"/>
                <w:szCs w:val="18"/>
              </w:rPr>
              <w:t xml:space="preserve"> </w:t>
            </w:r>
            <w:r>
              <w:rPr>
                <w:rFonts w:ascii="Times New Roman" w:hAnsi="Times New Roman"/>
                <w:sz w:val="18"/>
                <w:szCs w:val="18"/>
              </w:rPr>
              <w:t>浊度计法</w:t>
            </w:r>
            <w:r>
              <w:rPr>
                <w:rFonts w:ascii="Times New Roman" w:hAnsi="Times New Roman"/>
                <w:sz w:val="18"/>
                <w:szCs w:val="18"/>
              </w:rPr>
              <w:t>HJ 1075-2019</w:t>
            </w:r>
          </w:p>
        </w:tc>
      </w:tr>
      <w:tr w:rsidR="002E0378">
        <w:trPr>
          <w:trHeight w:val="310"/>
          <w:jc w:val="center"/>
        </w:trPr>
        <w:tc>
          <w:tcPr>
            <w:tcW w:w="1513" w:type="dxa"/>
            <w:tcBorders>
              <w:tl2br w:val="nil"/>
              <w:tr2bl w:val="nil"/>
            </w:tcBorders>
            <w:noWrap/>
            <w:vAlign w:val="center"/>
          </w:tcPr>
          <w:p w:rsidR="002E0378" w:rsidRDefault="005C380A">
            <w:pPr>
              <w:tabs>
                <w:tab w:val="left" w:pos="900"/>
              </w:tabs>
              <w:rPr>
                <w:rFonts w:ascii="宋体" w:hAnsi="宋体" w:cs="宋体"/>
                <w:color w:val="000000"/>
                <w:kern w:val="0"/>
                <w:u w:color="FFFFFF"/>
              </w:rPr>
            </w:pPr>
            <w:r>
              <w:rPr>
                <w:rFonts w:ascii="Times New Roman" w:hAnsi="Times New Roman" w:hint="eastAsia"/>
              </w:rPr>
              <w:t>pH</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生活饮用水标准检验方法</w:t>
            </w:r>
            <w:r>
              <w:rPr>
                <w:rFonts w:ascii="Times New Roman" w:hAnsi="Times New Roman"/>
                <w:sz w:val="18"/>
                <w:szCs w:val="18"/>
              </w:rPr>
              <w:t xml:space="preserve"> </w:t>
            </w:r>
            <w:r>
              <w:rPr>
                <w:rFonts w:ascii="Times New Roman" w:hAnsi="Times New Roman"/>
                <w:sz w:val="18"/>
                <w:szCs w:val="18"/>
              </w:rPr>
              <w:t>感官性状和物理指标</w:t>
            </w:r>
            <w:r>
              <w:rPr>
                <w:rFonts w:ascii="Times New Roman" w:hAnsi="Times New Roman"/>
                <w:sz w:val="18"/>
                <w:szCs w:val="18"/>
              </w:rPr>
              <w:t>2</w:t>
            </w:r>
            <w:r>
              <w:rPr>
                <w:rFonts w:ascii="Times New Roman" w:hAnsi="Times New Roman"/>
                <w:sz w:val="18"/>
                <w:szCs w:val="18"/>
              </w:rPr>
              <w:t>浑浊度</w:t>
            </w:r>
            <w:r>
              <w:rPr>
                <w:rFonts w:ascii="Times New Roman" w:hAnsi="Times New Roman"/>
                <w:sz w:val="18"/>
                <w:szCs w:val="18"/>
              </w:rPr>
              <w:t>GB/T 5750.4-2006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总硬度</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生活饮用水标准检验方法</w:t>
            </w:r>
            <w:r>
              <w:rPr>
                <w:rFonts w:ascii="Times New Roman" w:hAnsi="Times New Roman"/>
                <w:sz w:val="18"/>
                <w:szCs w:val="18"/>
              </w:rPr>
              <w:t xml:space="preserve"> </w:t>
            </w:r>
            <w:r>
              <w:rPr>
                <w:rFonts w:ascii="Times New Roman" w:hAnsi="Times New Roman"/>
                <w:sz w:val="18"/>
                <w:szCs w:val="18"/>
              </w:rPr>
              <w:t>感官性状和物理指标</w:t>
            </w:r>
            <w:r>
              <w:rPr>
                <w:rFonts w:ascii="Times New Roman" w:hAnsi="Times New Roman"/>
                <w:sz w:val="18"/>
                <w:szCs w:val="18"/>
              </w:rPr>
              <w:t>3</w:t>
            </w:r>
            <w:r>
              <w:rPr>
                <w:rFonts w:ascii="Times New Roman" w:hAnsi="Times New Roman"/>
                <w:sz w:val="18"/>
                <w:szCs w:val="18"/>
              </w:rPr>
              <w:t>臭和味</w:t>
            </w:r>
            <w:r>
              <w:rPr>
                <w:rFonts w:ascii="Times New Roman" w:hAnsi="Times New Roman"/>
                <w:sz w:val="18"/>
                <w:szCs w:val="18"/>
              </w:rPr>
              <w:t>GB/T 5750.4-2006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溶解性总固体</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生活饮用水标准检验方法</w:t>
            </w:r>
            <w:r>
              <w:rPr>
                <w:rFonts w:ascii="Times New Roman" w:hAnsi="Times New Roman"/>
                <w:sz w:val="18"/>
                <w:szCs w:val="18"/>
              </w:rPr>
              <w:t xml:space="preserve"> </w:t>
            </w:r>
            <w:r>
              <w:rPr>
                <w:rFonts w:ascii="Times New Roman" w:hAnsi="Times New Roman"/>
                <w:sz w:val="18"/>
                <w:szCs w:val="18"/>
              </w:rPr>
              <w:t>感官性状和物理指标</w:t>
            </w:r>
            <w:r>
              <w:rPr>
                <w:rFonts w:ascii="Times New Roman" w:hAnsi="Times New Roman"/>
                <w:sz w:val="18"/>
                <w:szCs w:val="18"/>
              </w:rPr>
              <w:t>4</w:t>
            </w:r>
            <w:r>
              <w:rPr>
                <w:rFonts w:ascii="Times New Roman" w:hAnsi="Times New Roman"/>
                <w:sz w:val="18"/>
                <w:szCs w:val="18"/>
              </w:rPr>
              <w:t>肉眼可见物</w:t>
            </w:r>
            <w:r>
              <w:rPr>
                <w:rFonts w:ascii="Times New Roman" w:hAnsi="Times New Roman"/>
                <w:sz w:val="18"/>
                <w:szCs w:val="18"/>
              </w:rPr>
              <w:t>GB/T 5750.4-2006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耗氧量</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hint="eastAsia"/>
                <w:sz w:val="18"/>
                <w:szCs w:val="18"/>
              </w:rPr>
              <w:t>生活饮用水标准检验方法</w:t>
            </w:r>
            <w:r>
              <w:rPr>
                <w:rFonts w:ascii="Times New Roman" w:hAnsi="Times New Roman" w:hint="eastAsia"/>
                <w:sz w:val="18"/>
                <w:szCs w:val="18"/>
              </w:rPr>
              <w:t xml:space="preserve"> </w:t>
            </w:r>
            <w:r>
              <w:rPr>
                <w:rFonts w:ascii="Times New Roman" w:hAnsi="Times New Roman" w:hint="eastAsia"/>
                <w:sz w:val="18"/>
                <w:szCs w:val="18"/>
              </w:rPr>
              <w:t>有机物综合指标</w:t>
            </w:r>
            <w:r>
              <w:rPr>
                <w:rFonts w:ascii="Times New Roman" w:hAnsi="Times New Roman" w:hint="eastAsia"/>
                <w:sz w:val="18"/>
                <w:szCs w:val="18"/>
              </w:rPr>
              <w:t>GB/T 5750.7-2006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hAnsi="Times New Roman"/>
              </w:rPr>
            </w:pPr>
            <w:r>
              <w:rPr>
                <w:rFonts w:ascii="Times New Roman" w:hAnsi="Times New Roman" w:hint="eastAsia"/>
              </w:rPr>
              <w:t>氯化物</w:t>
            </w:r>
          </w:p>
          <w:p w:rsidR="002E0378" w:rsidRDefault="005C380A">
            <w:pPr>
              <w:widowControl w:val="0"/>
              <w:rPr>
                <w:rFonts w:ascii="Times New Roman" w:eastAsiaTheme="minorEastAsia" w:hAnsi="Times New Roman"/>
                <w:u w:color="FFFFFF"/>
              </w:rPr>
            </w:pPr>
            <w:r>
              <w:rPr>
                <w:rFonts w:ascii="Times New Roman" w:hAnsi="Times New Roman" w:hint="eastAsia"/>
              </w:rPr>
              <w:t>（以</w:t>
            </w:r>
            <w:r>
              <w:rPr>
                <w:rFonts w:ascii="Times New Roman" w:hAnsi="Times New Roman" w:hint="eastAsia"/>
              </w:rPr>
              <w:t>Cl</w:t>
            </w:r>
            <w:r>
              <w:rPr>
                <w:rFonts w:ascii="宋体" w:hAnsi="宋体" w:cs="宋体" w:hint="eastAsia"/>
                <w:color w:val="000000"/>
                <w:kern w:val="0"/>
                <w:vertAlign w:val="superscript"/>
              </w:rPr>
              <w:t>-</w:t>
            </w:r>
            <w:r>
              <w:rPr>
                <w:rFonts w:ascii="宋体" w:hAnsi="宋体" w:cs="宋体" w:hint="eastAsia"/>
                <w:color w:val="000000"/>
                <w:kern w:val="0"/>
              </w:rPr>
              <w:t>计</w:t>
            </w:r>
            <w:r>
              <w:rPr>
                <w:rFonts w:ascii="Times New Roman" w:hAnsi="Times New Roman" w:hint="eastAsia"/>
              </w:rPr>
              <w:t>）</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水质</w:t>
            </w:r>
            <w:r>
              <w:rPr>
                <w:rFonts w:ascii="Times New Roman" w:hAnsi="Times New Roman"/>
                <w:sz w:val="18"/>
                <w:szCs w:val="18"/>
              </w:rPr>
              <w:t xml:space="preserve"> </w:t>
            </w:r>
            <w:r>
              <w:rPr>
                <w:rFonts w:ascii="Times New Roman" w:hAnsi="Times New Roman"/>
                <w:sz w:val="18"/>
                <w:szCs w:val="18"/>
              </w:rPr>
              <w:t>无机阴离子</w:t>
            </w:r>
            <w:r>
              <w:rPr>
                <w:rFonts w:ascii="Times New Roman" w:hAnsi="Times New Roman" w:hint="eastAsia"/>
                <w:sz w:val="18"/>
                <w:szCs w:val="18"/>
              </w:rPr>
              <w:t>（</w:t>
            </w:r>
            <w:r>
              <w:rPr>
                <w:rFonts w:ascii="Times New Roman" w:hAnsi="Times New Roman" w:hint="eastAsia"/>
                <w:sz w:val="18"/>
                <w:szCs w:val="18"/>
              </w:rPr>
              <w:t>Cl-</w:t>
            </w:r>
            <w:r>
              <w:rPr>
                <w:rFonts w:ascii="Times New Roman" w:hAnsi="Times New Roman" w:hint="eastAsia"/>
                <w:sz w:val="18"/>
                <w:szCs w:val="18"/>
              </w:rPr>
              <w:t>）</w:t>
            </w:r>
            <w:r>
              <w:rPr>
                <w:rFonts w:ascii="Times New Roman" w:hAnsi="Times New Roman"/>
                <w:sz w:val="18"/>
                <w:szCs w:val="18"/>
              </w:rPr>
              <w:t>的测定离子色谱法</w:t>
            </w:r>
            <w:r>
              <w:rPr>
                <w:rFonts w:ascii="Times New Roman" w:hAnsi="Times New Roman"/>
                <w:sz w:val="18"/>
                <w:szCs w:val="18"/>
              </w:rPr>
              <w:t>HJ 84-2016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氨氮</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生活饮用水标准检验方法</w:t>
            </w:r>
            <w:r>
              <w:rPr>
                <w:rFonts w:ascii="Times New Roman" w:hAnsi="Times New Roman"/>
                <w:sz w:val="18"/>
                <w:szCs w:val="18"/>
              </w:rPr>
              <w:t xml:space="preserve"> </w:t>
            </w:r>
            <w:r>
              <w:rPr>
                <w:rFonts w:ascii="Times New Roman" w:hAnsi="Times New Roman"/>
                <w:sz w:val="18"/>
                <w:szCs w:val="18"/>
              </w:rPr>
              <w:t>无机非金属指标</w:t>
            </w:r>
            <w:r>
              <w:rPr>
                <w:rFonts w:ascii="Times New Roman" w:hAnsi="Times New Roman"/>
                <w:sz w:val="18"/>
                <w:szCs w:val="18"/>
              </w:rPr>
              <w:t>GB/T 5750.5-2006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挥发酚</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水质</w:t>
            </w:r>
            <w:r>
              <w:rPr>
                <w:rFonts w:ascii="Times New Roman" w:hAnsi="Times New Roman"/>
                <w:sz w:val="18"/>
                <w:szCs w:val="18"/>
              </w:rPr>
              <w:t xml:space="preserve"> </w:t>
            </w:r>
            <w:r>
              <w:rPr>
                <w:rFonts w:ascii="Times New Roman" w:hAnsi="Times New Roman"/>
                <w:sz w:val="18"/>
                <w:szCs w:val="18"/>
              </w:rPr>
              <w:t>挥发酚的测定</w:t>
            </w:r>
            <w:r>
              <w:rPr>
                <w:rFonts w:ascii="Times New Roman" w:hAnsi="Times New Roman"/>
                <w:sz w:val="18"/>
                <w:szCs w:val="18"/>
              </w:rPr>
              <w:t xml:space="preserve"> 4-</w:t>
            </w:r>
            <w:r>
              <w:rPr>
                <w:rFonts w:ascii="Times New Roman" w:hAnsi="Times New Roman"/>
                <w:sz w:val="18"/>
                <w:szCs w:val="18"/>
              </w:rPr>
              <w:t>氨基安替吡</w:t>
            </w:r>
            <w:r>
              <w:rPr>
                <w:rFonts w:ascii="Times New Roman" w:hAnsi="Times New Roman"/>
                <w:sz w:val="18"/>
                <w:szCs w:val="18"/>
              </w:rPr>
              <w:t xml:space="preserve"> </w:t>
            </w:r>
            <w:r>
              <w:rPr>
                <w:rFonts w:ascii="Times New Roman" w:hAnsi="Times New Roman"/>
                <w:sz w:val="18"/>
                <w:szCs w:val="18"/>
              </w:rPr>
              <w:t>啉分光光度法</w:t>
            </w:r>
            <w:r>
              <w:rPr>
                <w:rFonts w:ascii="Times New Roman" w:hAnsi="Times New Roman"/>
                <w:sz w:val="18"/>
                <w:szCs w:val="18"/>
              </w:rPr>
              <w:t xml:space="preserve"> HJ 503-2009</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hAnsi="Times New Roman"/>
              </w:rPr>
            </w:pPr>
            <w:r>
              <w:rPr>
                <w:rFonts w:ascii="Times New Roman" w:hAnsi="Times New Roman"/>
              </w:rPr>
              <w:t>硝酸盐</w:t>
            </w:r>
          </w:p>
          <w:p w:rsidR="002E0378" w:rsidRDefault="005C380A">
            <w:pPr>
              <w:widowControl w:val="0"/>
              <w:rPr>
                <w:rFonts w:ascii="Times New Roman" w:eastAsiaTheme="minorEastAsia" w:hAnsi="Times New Roman"/>
                <w:u w:color="FFFFFF"/>
              </w:rPr>
            </w:pPr>
            <w:r>
              <w:rPr>
                <w:rFonts w:ascii="Times New Roman" w:hAnsi="Times New Roman" w:hint="eastAsia"/>
              </w:rPr>
              <w:t>（以</w:t>
            </w:r>
            <w:r>
              <w:rPr>
                <w:rFonts w:ascii="Times New Roman" w:hAnsi="Times New Roman"/>
              </w:rPr>
              <w:t>N</w:t>
            </w:r>
            <w:r>
              <w:rPr>
                <w:rFonts w:ascii="Times New Roman" w:hAnsi="Times New Roman" w:hint="eastAsia"/>
              </w:rPr>
              <w:t>计）</w:t>
            </w:r>
          </w:p>
        </w:tc>
        <w:tc>
          <w:tcPr>
            <w:tcW w:w="7007" w:type="dxa"/>
            <w:vMerge w:val="restart"/>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水质</w:t>
            </w:r>
            <w:r>
              <w:rPr>
                <w:rFonts w:ascii="Times New Roman" w:hAnsi="Times New Roman"/>
                <w:sz w:val="18"/>
                <w:szCs w:val="18"/>
              </w:rPr>
              <w:t xml:space="preserve"> </w:t>
            </w:r>
            <w:r>
              <w:rPr>
                <w:rFonts w:ascii="Times New Roman" w:hAnsi="Times New Roman"/>
                <w:sz w:val="18"/>
                <w:szCs w:val="18"/>
              </w:rPr>
              <w:t>无机阴离子（</w:t>
            </w:r>
            <w:r>
              <w:rPr>
                <w:rFonts w:ascii="Times New Roman" w:hAnsi="Times New Roman"/>
                <w:sz w:val="18"/>
                <w:szCs w:val="18"/>
              </w:rPr>
              <w:t>NO3-</w:t>
            </w:r>
            <w:r>
              <w:rPr>
                <w:rFonts w:ascii="Times New Roman" w:hAnsi="Times New Roman"/>
                <w:sz w:val="18"/>
                <w:szCs w:val="18"/>
              </w:rPr>
              <w:t>、</w:t>
            </w:r>
            <w:r>
              <w:rPr>
                <w:rFonts w:ascii="Times New Roman" w:hAnsi="Times New Roman"/>
                <w:sz w:val="18"/>
                <w:szCs w:val="18"/>
              </w:rPr>
              <w:t>NO</w:t>
            </w:r>
            <w:r>
              <w:rPr>
                <w:rFonts w:ascii="Times New Roman" w:hAnsi="Times New Roman" w:hint="eastAsia"/>
                <w:sz w:val="18"/>
                <w:szCs w:val="18"/>
              </w:rPr>
              <w:t>2</w:t>
            </w:r>
            <w:r>
              <w:rPr>
                <w:rFonts w:ascii="Times New Roman" w:hAnsi="Times New Roman"/>
                <w:sz w:val="18"/>
                <w:szCs w:val="18"/>
              </w:rPr>
              <w:t>-</w:t>
            </w:r>
            <w:r>
              <w:rPr>
                <w:rFonts w:ascii="Times New Roman" w:hAnsi="Times New Roman"/>
                <w:sz w:val="18"/>
                <w:szCs w:val="18"/>
              </w:rPr>
              <w:t>）的测定离子色谱法</w:t>
            </w:r>
            <w:r>
              <w:rPr>
                <w:rFonts w:ascii="Times New Roman" w:hAnsi="Times New Roman"/>
                <w:sz w:val="18"/>
                <w:szCs w:val="18"/>
              </w:rPr>
              <w:t xml:space="preserve"> HJ 84-2016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hAnsi="Times New Roman"/>
              </w:rPr>
            </w:pPr>
            <w:r>
              <w:rPr>
                <w:rFonts w:ascii="Times New Roman" w:hAnsi="Times New Roman"/>
              </w:rPr>
              <w:t>亚硝酸盐</w:t>
            </w:r>
          </w:p>
          <w:p w:rsidR="002E0378" w:rsidRDefault="005C380A">
            <w:pPr>
              <w:widowControl w:val="0"/>
              <w:rPr>
                <w:rFonts w:ascii="Times New Roman" w:eastAsiaTheme="minorEastAsia" w:hAnsi="Times New Roman"/>
                <w:u w:color="FFFFFF"/>
              </w:rPr>
            </w:pPr>
            <w:r>
              <w:rPr>
                <w:rFonts w:ascii="Times New Roman" w:hAnsi="Times New Roman" w:hint="eastAsia"/>
              </w:rPr>
              <w:t>（以</w:t>
            </w:r>
            <w:r>
              <w:rPr>
                <w:rFonts w:ascii="Times New Roman" w:hAnsi="Times New Roman"/>
              </w:rPr>
              <w:t>N</w:t>
            </w:r>
            <w:r>
              <w:rPr>
                <w:rFonts w:ascii="Times New Roman" w:hAnsi="Times New Roman" w:hint="eastAsia"/>
              </w:rPr>
              <w:t>计）</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hAnsi="Times New Roman"/>
              </w:rPr>
            </w:pPr>
            <w:r>
              <w:rPr>
                <w:rFonts w:ascii="Times New Roman" w:hAnsi="Times New Roman" w:hint="eastAsia"/>
              </w:rPr>
              <w:t>氟化物</w:t>
            </w:r>
          </w:p>
          <w:p w:rsidR="002E0378" w:rsidRDefault="005C380A">
            <w:pPr>
              <w:widowControl w:val="0"/>
              <w:rPr>
                <w:rFonts w:ascii="Times New Roman" w:eastAsiaTheme="minorEastAsia" w:hAnsi="Times New Roman"/>
                <w:u w:color="FFFFFF"/>
              </w:rPr>
            </w:pPr>
            <w:r>
              <w:rPr>
                <w:rFonts w:ascii="Times New Roman" w:hAnsi="Times New Roman" w:hint="eastAsia"/>
              </w:rPr>
              <w:lastRenderedPageBreak/>
              <w:t>（以</w:t>
            </w:r>
            <w:r>
              <w:rPr>
                <w:rFonts w:ascii="Times New Roman" w:hAnsi="Times New Roman" w:hint="eastAsia"/>
              </w:rPr>
              <w:t>F</w:t>
            </w:r>
            <w:r>
              <w:rPr>
                <w:rFonts w:ascii="Times New Roman" w:hAnsi="Times New Roman"/>
                <w:vertAlign w:val="superscript"/>
              </w:rPr>
              <w:t>-</w:t>
            </w:r>
            <w:r>
              <w:rPr>
                <w:rFonts w:ascii="Times New Roman" w:hAnsi="Times New Roman" w:hint="eastAsia"/>
              </w:rPr>
              <w:t>计）</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lastRenderedPageBreak/>
              <w:t>水质</w:t>
            </w:r>
            <w:r>
              <w:rPr>
                <w:rFonts w:ascii="Times New Roman" w:hAnsi="Times New Roman"/>
                <w:sz w:val="18"/>
                <w:szCs w:val="18"/>
              </w:rPr>
              <w:t xml:space="preserve"> </w:t>
            </w:r>
            <w:r>
              <w:rPr>
                <w:rFonts w:ascii="Times New Roman" w:hAnsi="Times New Roman"/>
                <w:sz w:val="18"/>
                <w:szCs w:val="18"/>
              </w:rPr>
              <w:t>无机阴离子</w:t>
            </w:r>
            <w:r>
              <w:rPr>
                <w:rFonts w:ascii="Times New Roman" w:hAnsi="Times New Roman" w:hint="eastAsia"/>
                <w:sz w:val="18"/>
                <w:szCs w:val="18"/>
              </w:rPr>
              <w:t>（</w:t>
            </w:r>
            <w:r>
              <w:rPr>
                <w:rFonts w:ascii="Times New Roman" w:hAnsi="Times New Roman" w:hint="eastAsia"/>
                <w:sz w:val="18"/>
                <w:szCs w:val="18"/>
              </w:rPr>
              <w:t>F</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的测定离子色谱法</w:t>
            </w:r>
          </w:p>
          <w:p w:rsidR="002E0378" w:rsidRDefault="005C380A">
            <w:pPr>
              <w:spacing w:line="240" w:lineRule="exact"/>
              <w:rPr>
                <w:rFonts w:ascii="Times New Roman" w:hAnsi="Times New Roman"/>
                <w:sz w:val="18"/>
                <w:szCs w:val="18"/>
              </w:rPr>
            </w:pPr>
            <w:r>
              <w:rPr>
                <w:rFonts w:ascii="Times New Roman" w:hAnsi="Times New Roman"/>
                <w:sz w:val="18"/>
                <w:szCs w:val="18"/>
              </w:rPr>
              <w:lastRenderedPageBreak/>
              <w:t xml:space="preserve"> HJ 84-2016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lastRenderedPageBreak/>
              <w:t>铁</w:t>
            </w:r>
          </w:p>
        </w:tc>
        <w:tc>
          <w:tcPr>
            <w:tcW w:w="7007" w:type="dxa"/>
            <w:vMerge w:val="restart"/>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hint="eastAsia"/>
                <w:sz w:val="18"/>
                <w:szCs w:val="18"/>
              </w:rPr>
              <w:t>生活饮用水标准检验方法</w:t>
            </w:r>
            <w:r>
              <w:rPr>
                <w:rFonts w:ascii="Times New Roman" w:hAnsi="Times New Roman" w:hint="eastAsia"/>
                <w:sz w:val="18"/>
                <w:szCs w:val="18"/>
              </w:rPr>
              <w:t xml:space="preserve"> </w:t>
            </w:r>
            <w:r>
              <w:rPr>
                <w:rFonts w:ascii="Times New Roman" w:hAnsi="Times New Roman" w:hint="eastAsia"/>
                <w:sz w:val="18"/>
                <w:szCs w:val="18"/>
              </w:rPr>
              <w:t>金属指标</w:t>
            </w:r>
            <w:r>
              <w:rPr>
                <w:rFonts w:ascii="Times New Roman" w:hAnsi="Times New Roman" w:hint="eastAsia"/>
                <w:sz w:val="18"/>
                <w:szCs w:val="18"/>
              </w:rPr>
              <w:t xml:space="preserve"> GB/T 5750.6-2006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锰</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铜</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锌</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镉</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宋体" w:hAnsi="宋体" w:cs="宋体"/>
                <w:color w:val="000000"/>
                <w:kern w:val="0"/>
                <w:u w:color="FFFFFF"/>
              </w:rPr>
            </w:pPr>
            <w:r>
              <w:rPr>
                <w:rFonts w:ascii="Times New Roman" w:hAnsi="Times New Roman" w:hint="eastAsia"/>
              </w:rPr>
              <w:t>铅</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hAnsi="Times New Roman"/>
                <w:u w:color="FFFFFF"/>
              </w:rPr>
            </w:pPr>
            <w:r>
              <w:rPr>
                <w:rFonts w:ascii="Times New Roman" w:hAnsi="Times New Roman" w:hint="eastAsia"/>
              </w:rPr>
              <w:t>镍</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汞</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砷</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hint="eastAsia"/>
              </w:rPr>
              <w:t>六价铬</w:t>
            </w:r>
          </w:p>
        </w:tc>
        <w:tc>
          <w:tcPr>
            <w:tcW w:w="7007" w:type="dxa"/>
            <w:vMerge/>
            <w:tcBorders>
              <w:tl2br w:val="nil"/>
              <w:tr2bl w:val="nil"/>
            </w:tcBorders>
            <w:noWrap/>
            <w:vAlign w:val="center"/>
          </w:tcPr>
          <w:p w:rsidR="002E0378" w:rsidRDefault="002E0378">
            <w:pPr>
              <w:spacing w:line="240" w:lineRule="exact"/>
              <w:rPr>
                <w:rFonts w:ascii="Times New Roman" w:hAnsi="Times New Roman"/>
                <w:sz w:val="18"/>
                <w:szCs w:val="18"/>
              </w:rPr>
            </w:pP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宋体" w:hAnsi="宋体" w:cs="宋体" w:hint="eastAsia"/>
                <w:color w:val="000000"/>
                <w:kern w:val="0"/>
              </w:rPr>
              <w:t>石油类</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hint="eastAsia"/>
                <w:sz w:val="18"/>
                <w:szCs w:val="18"/>
              </w:rPr>
              <w:t>生活饮用水标准检验方法</w:t>
            </w:r>
            <w:r>
              <w:rPr>
                <w:rFonts w:ascii="Times New Roman" w:hAnsi="Times New Roman" w:hint="eastAsia"/>
                <w:sz w:val="18"/>
                <w:szCs w:val="18"/>
              </w:rPr>
              <w:t xml:space="preserve"> </w:t>
            </w:r>
            <w:r>
              <w:rPr>
                <w:rFonts w:ascii="Times New Roman" w:hAnsi="Times New Roman" w:hint="eastAsia"/>
                <w:sz w:val="18"/>
                <w:szCs w:val="18"/>
              </w:rPr>
              <w:t>有机物综合指标</w:t>
            </w:r>
            <w:r>
              <w:rPr>
                <w:rFonts w:ascii="Times New Roman" w:hAnsi="Times New Roman" w:hint="eastAsia"/>
                <w:sz w:val="18"/>
                <w:szCs w:val="18"/>
              </w:rPr>
              <w:t>GB/T 5750.7-2006</w:t>
            </w:r>
          </w:p>
        </w:tc>
      </w:tr>
      <w:tr w:rsidR="002E0378">
        <w:trPr>
          <w:trHeight w:val="310"/>
          <w:jc w:val="center"/>
        </w:trPr>
        <w:tc>
          <w:tcPr>
            <w:tcW w:w="1513" w:type="dxa"/>
            <w:tcBorders>
              <w:tl2br w:val="nil"/>
              <w:tr2bl w:val="nil"/>
            </w:tcBorders>
            <w:noWrap/>
            <w:vAlign w:val="center"/>
          </w:tcPr>
          <w:p w:rsidR="002E0378" w:rsidRDefault="005C380A">
            <w:pPr>
              <w:widowControl w:val="0"/>
              <w:rPr>
                <w:rFonts w:ascii="Times New Roman" w:eastAsiaTheme="minorEastAsia" w:hAnsi="Times New Roman"/>
                <w:u w:color="FFFFFF"/>
              </w:rPr>
            </w:pPr>
            <w:r>
              <w:rPr>
                <w:rFonts w:ascii="Times New Roman" w:hAnsi="Times New Roman"/>
              </w:rPr>
              <w:t>总大肠菌群</w:t>
            </w:r>
          </w:p>
        </w:tc>
        <w:tc>
          <w:tcPr>
            <w:tcW w:w="7007" w:type="dxa"/>
            <w:tcBorders>
              <w:tl2br w:val="nil"/>
              <w:tr2bl w:val="nil"/>
            </w:tcBorders>
            <w:noWrap/>
            <w:vAlign w:val="center"/>
          </w:tcPr>
          <w:p w:rsidR="002E0378" w:rsidRDefault="005C380A">
            <w:pPr>
              <w:spacing w:line="240" w:lineRule="exact"/>
              <w:rPr>
                <w:rFonts w:ascii="Times New Roman" w:hAnsi="Times New Roman"/>
                <w:sz w:val="18"/>
                <w:szCs w:val="18"/>
              </w:rPr>
            </w:pPr>
            <w:r>
              <w:rPr>
                <w:rFonts w:ascii="Times New Roman" w:hAnsi="Times New Roman"/>
                <w:sz w:val="18"/>
                <w:szCs w:val="18"/>
              </w:rPr>
              <w:t>生活饮用水标准检验方法微生物指标</w:t>
            </w:r>
            <w:r>
              <w:rPr>
                <w:rFonts w:ascii="Times New Roman" w:hAnsi="Times New Roman"/>
                <w:sz w:val="18"/>
                <w:szCs w:val="18"/>
              </w:rPr>
              <w:t>GB/T 5750.12-20</w:t>
            </w:r>
            <w:r>
              <w:rPr>
                <w:rFonts w:ascii="Times New Roman" w:hAnsi="Times New Roman" w:hint="eastAsia"/>
                <w:sz w:val="18"/>
                <w:szCs w:val="18"/>
              </w:rPr>
              <w:t>0</w:t>
            </w:r>
            <w:r>
              <w:rPr>
                <w:rFonts w:ascii="Times New Roman" w:hAnsi="Times New Roman"/>
                <w:sz w:val="18"/>
                <w:szCs w:val="18"/>
              </w:rPr>
              <w:t>6</w:t>
            </w:r>
            <w:r>
              <w:rPr>
                <w:rFonts w:ascii="Times New Roman" w:hAnsi="Times New Roman"/>
                <w:sz w:val="18"/>
                <w:szCs w:val="18"/>
              </w:rPr>
              <w:t>（</w:t>
            </w:r>
            <w:r>
              <w:rPr>
                <w:rFonts w:ascii="Times New Roman" w:hAnsi="Times New Roman"/>
                <w:sz w:val="18"/>
                <w:szCs w:val="18"/>
              </w:rPr>
              <w:t xml:space="preserve">2.1 </w:t>
            </w:r>
            <w:r>
              <w:rPr>
                <w:rFonts w:ascii="Times New Roman" w:hAnsi="Times New Roman"/>
                <w:sz w:val="18"/>
                <w:szCs w:val="18"/>
              </w:rPr>
              <w:t>多管发酵法）</w:t>
            </w:r>
            <w:r>
              <w:rPr>
                <w:rFonts w:ascii="Times New Roman" w:hAnsi="Times New Roman"/>
                <w:sz w:val="18"/>
                <w:szCs w:val="18"/>
              </w:rPr>
              <w:t xml:space="preserve"> </w:t>
            </w:r>
          </w:p>
        </w:tc>
      </w:tr>
    </w:tbl>
    <w:p w:rsidR="002E0378" w:rsidRDefault="005C380A">
      <w:pPr>
        <w:pStyle w:val="2"/>
        <w:rPr>
          <w:rFonts w:ascii="宋体" w:hAnsi="宋体" w:cs="宋体"/>
        </w:rPr>
      </w:pPr>
      <w:bookmarkStart w:id="78" w:name="_Toc2630"/>
      <w:bookmarkStart w:id="79" w:name="_Toc28956"/>
      <w:r>
        <w:t xml:space="preserve">5.5 </w:t>
      </w:r>
      <w:r>
        <w:t>检测结果与评价</w:t>
      </w:r>
      <w:bookmarkEnd w:id="78"/>
      <w:bookmarkEnd w:id="79"/>
    </w:p>
    <w:p w:rsidR="002E0378" w:rsidRDefault="005C380A">
      <w:pPr>
        <w:pStyle w:val="3"/>
        <w:rPr>
          <w:rFonts w:cs="宋体"/>
          <w:szCs w:val="28"/>
        </w:rPr>
      </w:pPr>
      <w:bookmarkStart w:id="80" w:name="_Toc24925"/>
      <w:r>
        <w:t>5.5.1</w:t>
      </w:r>
      <w:r>
        <w:t>土壤</w:t>
      </w:r>
      <w:bookmarkEnd w:id="80"/>
    </w:p>
    <w:p w:rsidR="002E0378" w:rsidRDefault="005C380A">
      <w:pPr>
        <w:pStyle w:val="a4"/>
        <w:ind w:firstLine="480"/>
      </w:pPr>
      <w:r>
        <w:rPr>
          <w:rFonts w:hint="eastAsia"/>
          <w:lang w:val="en-US"/>
        </w:rPr>
        <w:t>1</w:t>
      </w:r>
      <w:r>
        <w:rPr>
          <w:rFonts w:hint="eastAsia"/>
          <w:lang w:val="en-US"/>
        </w:rPr>
        <w:t>、土壤检测结果</w:t>
      </w:r>
    </w:p>
    <w:p w:rsidR="002E0378" w:rsidRDefault="005C380A">
      <w:pPr>
        <w:pStyle w:val="a4"/>
        <w:ind w:firstLine="480"/>
      </w:pPr>
      <w:r>
        <w:rPr>
          <w:rFonts w:hint="eastAsia"/>
        </w:rPr>
        <w:t>企业用地属于工业用地，故采用《土壤环境质量</w:t>
      </w:r>
      <w:r>
        <w:rPr>
          <w:rFonts w:hint="eastAsia"/>
        </w:rPr>
        <w:t xml:space="preserve"> </w:t>
      </w:r>
      <w:r>
        <w:rPr>
          <w:rFonts w:hint="eastAsia"/>
        </w:rPr>
        <w:t>建设用地土壤污染风险管控标准》（试行）（</w:t>
      </w:r>
      <w:r>
        <w:rPr>
          <w:rFonts w:hint="eastAsia"/>
        </w:rPr>
        <w:t>GB36600-2018</w:t>
      </w:r>
      <w:r>
        <w:rPr>
          <w:rFonts w:hint="eastAsia"/>
        </w:rPr>
        <w:t>）第二类用地筛选值标准进行评价。检测结果见下表（</w:t>
      </w:r>
      <w:r>
        <w:rPr>
          <w:rFonts w:hint="eastAsia"/>
          <w:lang w:val="en-US"/>
        </w:rPr>
        <w:t>ND</w:t>
      </w:r>
      <w:r>
        <w:rPr>
          <w:rFonts w:hint="eastAsia"/>
          <w:lang w:val="en-US"/>
        </w:rPr>
        <w:t>代表未检出</w:t>
      </w:r>
      <w:r>
        <w:rPr>
          <w:rFonts w:hint="eastAsia"/>
        </w:rPr>
        <w:t>）。</w:t>
      </w:r>
    </w:p>
    <w:p w:rsidR="002E0378" w:rsidRDefault="005C380A">
      <w:pPr>
        <w:pStyle w:val="a4"/>
        <w:ind w:firstLine="480"/>
        <w:rPr>
          <w:lang w:val="en-US"/>
        </w:rPr>
      </w:pPr>
      <w:r>
        <w:rPr>
          <w:rFonts w:hint="eastAsia"/>
        </w:rPr>
        <w:t>二噁英监测日期为</w:t>
      </w:r>
      <w:r>
        <w:rPr>
          <w:rFonts w:hint="eastAsia"/>
        </w:rPr>
        <w:t>202</w:t>
      </w:r>
      <w:r>
        <w:rPr>
          <w:rFonts w:hint="eastAsia"/>
          <w:lang w:val="en-US"/>
        </w:rPr>
        <w:t>3</w:t>
      </w:r>
      <w:r>
        <w:rPr>
          <w:rFonts w:hint="eastAsia"/>
        </w:rPr>
        <w:t>年</w:t>
      </w:r>
      <w:r>
        <w:rPr>
          <w:rFonts w:hint="eastAsia"/>
          <w:lang w:val="en-US"/>
        </w:rPr>
        <w:t>6</w:t>
      </w:r>
      <w:r>
        <w:rPr>
          <w:rFonts w:hint="eastAsia"/>
        </w:rPr>
        <w:t>月</w:t>
      </w:r>
      <w:r>
        <w:rPr>
          <w:rFonts w:hint="eastAsia"/>
          <w:lang w:val="en-US"/>
        </w:rPr>
        <w:t>15</w:t>
      </w:r>
      <w:r>
        <w:rPr>
          <w:rFonts w:hint="eastAsia"/>
        </w:rPr>
        <w:t>日，其余项目监测日期为</w:t>
      </w:r>
      <w:r>
        <w:rPr>
          <w:rFonts w:hint="eastAsia"/>
        </w:rPr>
        <w:t>202</w:t>
      </w:r>
      <w:r>
        <w:rPr>
          <w:rFonts w:hint="eastAsia"/>
          <w:lang w:val="en-US"/>
        </w:rPr>
        <w:t>3</w:t>
      </w:r>
      <w:r>
        <w:rPr>
          <w:rFonts w:hint="eastAsia"/>
        </w:rPr>
        <w:t>年</w:t>
      </w:r>
      <w:r>
        <w:rPr>
          <w:rFonts w:hint="eastAsia"/>
          <w:lang w:val="en-US"/>
        </w:rPr>
        <w:t>6</w:t>
      </w:r>
      <w:r>
        <w:rPr>
          <w:rFonts w:hint="eastAsia"/>
        </w:rPr>
        <w:t>月</w:t>
      </w:r>
      <w:r>
        <w:rPr>
          <w:rFonts w:hint="eastAsia"/>
          <w:lang w:val="en-US"/>
        </w:rPr>
        <w:t>10</w:t>
      </w:r>
      <w:r>
        <w:rPr>
          <w:rFonts w:hint="eastAsia"/>
        </w:rPr>
        <w:t>日（最近一次）；</w:t>
      </w:r>
    </w:p>
    <w:p w:rsidR="002E0378" w:rsidRDefault="005C380A">
      <w:pPr>
        <w:pStyle w:val="a4"/>
        <w:ind w:firstLine="480"/>
      </w:pPr>
      <w:r>
        <w:rPr>
          <w:rFonts w:hint="eastAsia"/>
        </w:rPr>
        <w:t>监测单位：二噁英监测单位为江苏格林勒斯检测科技有限公司，其余项目监测单位为吉林柏源环境检测有限公司</w:t>
      </w:r>
    </w:p>
    <w:p w:rsidR="002E0378" w:rsidRDefault="005C380A" w:rsidP="0090536A">
      <w:pPr>
        <w:pStyle w:val="a4"/>
        <w:ind w:firstLine="480"/>
      </w:pPr>
      <w:r>
        <w:rPr>
          <w:rFonts w:hint="eastAsia"/>
        </w:rPr>
        <w:t>监测频次：</w:t>
      </w:r>
      <w:r>
        <w:rPr>
          <w:rFonts w:hint="eastAsia"/>
        </w:rPr>
        <w:t>1</w:t>
      </w:r>
      <w:r>
        <w:rPr>
          <w:rFonts w:hint="eastAsia"/>
        </w:rPr>
        <w:t>次</w:t>
      </w:r>
    </w:p>
    <w:p w:rsidR="002E0378" w:rsidRDefault="005C380A">
      <w:pPr>
        <w:pStyle w:val="a4"/>
        <w:ind w:firstLineChars="0" w:firstLine="0"/>
        <w:rPr>
          <w:b/>
          <w:bCs/>
        </w:rPr>
      </w:pPr>
      <w:r>
        <w:rPr>
          <w:rFonts w:hint="eastAsia"/>
        </w:rPr>
        <w:t>检测结果见下表（</w:t>
      </w:r>
      <w:r>
        <w:rPr>
          <w:rFonts w:hint="eastAsia"/>
          <w:lang w:val="en-US"/>
        </w:rPr>
        <w:t>ND</w:t>
      </w:r>
      <w:r>
        <w:rPr>
          <w:rFonts w:hint="eastAsia"/>
          <w:lang w:val="en-US"/>
        </w:rPr>
        <w:t>代表未检出</w:t>
      </w:r>
      <w:r>
        <w:rPr>
          <w:rFonts w:hint="eastAsia"/>
        </w:rPr>
        <w:t>）</w:t>
      </w:r>
    </w:p>
    <w:p w:rsidR="002E0378" w:rsidRDefault="002E0378">
      <w:pPr>
        <w:pStyle w:val="a4"/>
        <w:ind w:firstLineChars="0" w:firstLine="0"/>
        <w:jc w:val="center"/>
        <w:rPr>
          <w:b/>
          <w:bCs/>
        </w:rPr>
      </w:pPr>
    </w:p>
    <w:p w:rsidR="002E0378" w:rsidRDefault="002E0378">
      <w:pPr>
        <w:pStyle w:val="a4"/>
        <w:ind w:firstLineChars="0" w:firstLine="0"/>
        <w:jc w:val="center"/>
        <w:rPr>
          <w:b/>
          <w:bCs/>
        </w:rPr>
        <w:sectPr w:rsidR="002E0378">
          <w:pgSz w:w="11906" w:h="16838"/>
          <w:pgMar w:top="1440" w:right="1800" w:bottom="1440" w:left="1800" w:header="851" w:footer="992" w:gutter="0"/>
          <w:cols w:space="720"/>
          <w:docGrid w:type="lines" w:linePitch="312"/>
        </w:sectPr>
      </w:pPr>
    </w:p>
    <w:p w:rsidR="002E0378" w:rsidRDefault="005C380A">
      <w:pPr>
        <w:pStyle w:val="a4"/>
        <w:ind w:firstLineChars="0" w:firstLine="0"/>
        <w:jc w:val="center"/>
        <w:rPr>
          <w:rFonts w:ascii="宋体" w:hAnsi="宋体"/>
          <w:b/>
          <w:bCs/>
          <w:sz w:val="21"/>
          <w:szCs w:val="21"/>
          <w:lang w:val="en-US"/>
        </w:rPr>
      </w:pPr>
      <w:r>
        <w:rPr>
          <w:rFonts w:hint="eastAsia"/>
          <w:b/>
          <w:bCs/>
          <w:lang w:val="en-US"/>
        </w:rPr>
        <w:lastRenderedPageBreak/>
        <w:t xml:space="preserve">                       </w:t>
      </w:r>
      <w:r>
        <w:rPr>
          <w:rFonts w:hint="eastAsia"/>
          <w:b/>
          <w:bCs/>
        </w:rPr>
        <w:t>表</w:t>
      </w:r>
      <w:r>
        <w:rPr>
          <w:rFonts w:hint="eastAsia"/>
          <w:b/>
          <w:bCs/>
        </w:rPr>
        <w:t xml:space="preserve">5-5  </w:t>
      </w:r>
      <w:r>
        <w:rPr>
          <w:rFonts w:hint="eastAsia"/>
          <w:b/>
          <w:bCs/>
        </w:rPr>
        <w:t>土壤检测结果表</w:t>
      </w:r>
      <w:r>
        <w:rPr>
          <w:rFonts w:hint="eastAsia"/>
          <w:b/>
          <w:bCs/>
          <w:lang w:val="en-US"/>
        </w:rPr>
        <w:t xml:space="preserve">                </w:t>
      </w:r>
      <w:r>
        <w:rPr>
          <w:rFonts w:ascii="宋体" w:hAnsi="宋体" w:hint="eastAsia"/>
          <w:sz w:val="21"/>
          <w:szCs w:val="21"/>
        </w:rPr>
        <w:t>单位：mg/kg</w:t>
      </w:r>
      <w:r>
        <w:rPr>
          <w:rFonts w:ascii="宋体" w:hAnsi="宋体" w:hint="eastAsia"/>
          <w:sz w:val="21"/>
          <w:szCs w:val="21"/>
          <w:lang w:val="en-US"/>
        </w:rPr>
        <w:t xml:space="preserve">  二噁英：</w:t>
      </w:r>
      <w:r>
        <w:rPr>
          <w:rFonts w:cs="Times New Roman" w:hint="eastAsia"/>
          <w:sz w:val="18"/>
          <w:szCs w:val="18"/>
          <w:lang w:val="en-US"/>
        </w:rPr>
        <w:t>TEQng/kg</w:t>
      </w:r>
    </w:p>
    <w:tbl>
      <w:tblPr>
        <w:tblW w:w="5069" w:type="pct"/>
        <w:jc w:val="center"/>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CellMar>
          <w:left w:w="0" w:type="dxa"/>
          <w:right w:w="0" w:type="dxa"/>
        </w:tblCellMar>
        <w:tblLook w:val="04A0" w:firstRow="1" w:lastRow="0" w:firstColumn="1" w:lastColumn="0" w:noHBand="0" w:noVBand="1"/>
      </w:tblPr>
      <w:tblGrid>
        <w:gridCol w:w="2363"/>
        <w:gridCol w:w="587"/>
        <w:gridCol w:w="38"/>
        <w:gridCol w:w="621"/>
        <w:gridCol w:w="201"/>
        <w:gridCol w:w="37"/>
        <w:gridCol w:w="620"/>
        <w:gridCol w:w="201"/>
        <w:gridCol w:w="37"/>
        <w:gridCol w:w="620"/>
        <w:gridCol w:w="201"/>
        <w:gridCol w:w="37"/>
        <w:gridCol w:w="734"/>
        <w:gridCol w:w="773"/>
        <w:gridCol w:w="810"/>
        <w:gridCol w:w="227"/>
        <w:gridCol w:w="139"/>
        <w:gridCol w:w="82"/>
        <w:gridCol w:w="569"/>
        <w:gridCol w:w="37"/>
        <w:gridCol w:w="229"/>
        <w:gridCol w:w="782"/>
        <w:gridCol w:w="37"/>
        <w:gridCol w:w="229"/>
        <w:gridCol w:w="782"/>
        <w:gridCol w:w="37"/>
        <w:gridCol w:w="326"/>
        <w:gridCol w:w="717"/>
        <w:gridCol w:w="37"/>
        <w:gridCol w:w="14"/>
        <w:gridCol w:w="1317"/>
        <w:gridCol w:w="20"/>
        <w:gridCol w:w="37"/>
        <w:gridCol w:w="626"/>
        <w:gridCol w:w="37"/>
      </w:tblGrid>
      <w:tr w:rsidR="002E0378">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检测项目</w:t>
            </w:r>
          </w:p>
        </w:tc>
        <w:tc>
          <w:tcPr>
            <w:tcW w:w="1661" w:type="pct"/>
            <w:gridSpan w:val="13"/>
            <w:tcBorders>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S01</w:t>
            </w:r>
          </w:p>
        </w:tc>
        <w:tc>
          <w:tcPr>
            <w:tcW w:w="1766" w:type="pct"/>
            <w:gridSpan w:val="14"/>
            <w:tcBorders>
              <w:left w:val="single" w:sz="4" w:space="0" w:color="auto"/>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AT1</w:t>
            </w:r>
          </w:p>
        </w:tc>
        <w:tc>
          <w:tcPr>
            <w:tcW w:w="490" w:type="pct"/>
            <w:gridSpan w:val="4"/>
            <w:vMerge w:val="restart"/>
            <w:tcBorders>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标准值</w:t>
            </w:r>
          </w:p>
        </w:tc>
        <w:tc>
          <w:tcPr>
            <w:tcW w:w="234" w:type="pct"/>
            <w:gridSpan w:val="2"/>
            <w:vMerge w:val="restart"/>
            <w:tcBorders>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评价</w:t>
            </w:r>
          </w:p>
          <w:p w:rsidR="002E0378" w:rsidRDefault="005C380A">
            <w:pPr>
              <w:rPr>
                <w:rFonts w:ascii="Times New Roman" w:hAnsi="Times New Roman"/>
                <w:kern w:val="1"/>
              </w:rPr>
            </w:pPr>
            <w:r>
              <w:rPr>
                <w:rFonts w:ascii="Times New Roman" w:hAnsi="Times New Roman"/>
                <w:kern w:val="1"/>
              </w:rPr>
              <w:t>结果</w:t>
            </w:r>
          </w:p>
        </w:tc>
      </w:tr>
      <w:tr w:rsidR="002E0378">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2E0378" w:rsidRDefault="002E0378">
            <w:pPr>
              <w:jc w:val="left"/>
              <w:rPr>
                <w:rFonts w:ascii="Times New Roman" w:hAnsi="Times New Roman"/>
                <w:kern w:val="1"/>
              </w:rPr>
            </w:pPr>
          </w:p>
        </w:tc>
        <w:tc>
          <w:tcPr>
            <w:tcW w:w="207" w:type="pct"/>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1.5-3.0m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543"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rPr>
            </w:pPr>
            <w:r>
              <w:rPr>
                <w:rFonts w:ascii="Times New Roman" w:hAnsi="Times New Roman"/>
              </w:rPr>
              <w:t>0-0.5m</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1.5-3.0m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380"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90" w:type="pct"/>
            <w:gridSpan w:val="4"/>
            <w:vMerge/>
            <w:tcBorders>
              <w:top w:val="single" w:sz="4" w:space="0" w:color="000000"/>
              <w:left w:val="single" w:sz="4" w:space="0" w:color="000000"/>
              <w:bottom w:val="single" w:sz="4" w:space="0" w:color="000000"/>
              <w:right w:val="single" w:sz="4" w:space="0" w:color="000000"/>
            </w:tcBorders>
            <w:noWrap/>
            <w:vAlign w:val="center"/>
          </w:tcPr>
          <w:p w:rsidR="002E0378" w:rsidRDefault="002E0378">
            <w:pPr>
              <w:jc w:val="left"/>
              <w:rPr>
                <w:rFonts w:ascii="Times New Roman" w:hAnsi="Times New Roman"/>
                <w:kern w:val="1"/>
              </w:rPr>
            </w:pPr>
          </w:p>
        </w:tc>
        <w:tc>
          <w:tcPr>
            <w:tcW w:w="234" w:type="pct"/>
            <w:gridSpan w:val="2"/>
            <w:vMerge/>
            <w:tcBorders>
              <w:top w:val="single" w:sz="4" w:space="0" w:color="000000"/>
              <w:left w:val="single" w:sz="4" w:space="0" w:color="000000"/>
              <w:bottom w:val="single" w:sz="4" w:space="0" w:color="000000"/>
            </w:tcBorders>
            <w:noWrap/>
            <w:vAlign w:val="center"/>
          </w:tcPr>
          <w:p w:rsidR="002E0378" w:rsidRDefault="002E0378">
            <w:pPr>
              <w:jc w:val="left"/>
              <w:rPr>
                <w:rFonts w:ascii="Times New Roman" w:hAnsi="Times New Roman"/>
                <w:kern w:val="1"/>
              </w:rPr>
            </w:pPr>
          </w:p>
        </w:tc>
      </w:tr>
      <w:tr w:rsidR="002E0378">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8.4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8.6</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7.0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11.4</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11.0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8.9</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8.9</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镉</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0.27</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0.31</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0.39</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0.37</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铬（六价）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0.6</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1.6</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铜</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39</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29</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18000mg/kg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铅</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1.3</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1.5</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汞</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0.041</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0.086</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0.061</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0.058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镍</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56</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45</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四氯化碳</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氯仿</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氯甲烷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顺</w:t>
            </w:r>
            <w:r>
              <w:rPr>
                <w:rFonts w:ascii="Times New Roman" w:hAnsi="Times New Roman"/>
              </w:rPr>
              <w:t>-1,2-</w:t>
            </w:r>
            <w:r>
              <w:rPr>
                <w:rFonts w:ascii="Times New Roman" w:hAnsi="Times New Roman"/>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596mg/kg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反</w:t>
            </w:r>
            <w:r>
              <w:rPr>
                <w:rFonts w:ascii="Times New Roman" w:hAnsi="Times New Roman"/>
              </w:rPr>
              <w:t>-1,2-</w:t>
            </w:r>
            <w:r>
              <w:rPr>
                <w:rFonts w:ascii="Times New Roman" w:hAnsi="Times New Roman"/>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二氯甲烷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616mg/kg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1,1,1,2-</w:t>
            </w:r>
            <w:r>
              <w:rPr>
                <w:rFonts w:ascii="Times New Roman" w:hAnsi="Times New Roman"/>
              </w:rPr>
              <w:t>四氯乙烷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1,1,2,2-</w:t>
            </w:r>
            <w:r>
              <w:rPr>
                <w:rFonts w:ascii="Times New Roman" w:hAnsi="Times New Roman"/>
              </w:rPr>
              <w:t>四氯乙烷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1,1,1-</w:t>
            </w:r>
            <w:r>
              <w:rPr>
                <w:rFonts w:ascii="Times New Roman" w:hAnsi="Times New Roman"/>
              </w:rPr>
              <w:t>三氯乙烷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w:t>
            </w:r>
            <w:r>
              <w:rPr>
                <w:rFonts w:ascii="Times New Roman" w:hAnsi="Times New Roman"/>
              </w:rPr>
              <w:t>三氯乙烷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三氯乙烯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1,2,3-</w:t>
            </w:r>
            <w:r>
              <w:rPr>
                <w:rFonts w:ascii="Times New Roman" w:hAnsi="Times New Roman"/>
              </w:rPr>
              <w:t>三氯丙烷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0.43mg/kg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1,4-</w:t>
            </w:r>
            <w:r>
              <w:rPr>
                <w:rFonts w:ascii="Times New Roman" w:hAnsi="Times New Roman"/>
              </w:rPr>
              <w:t>二氯苯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乙苯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282mg/kg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间二甲苯</w:t>
            </w:r>
            <w:r>
              <w:rPr>
                <w:rFonts w:ascii="Times New Roman" w:hAnsi="Times New Roman"/>
              </w:rPr>
              <w:t>+</w:t>
            </w:r>
            <w:r>
              <w:rPr>
                <w:rFonts w:ascii="Times New Roman" w:hAnsi="Times New Roman"/>
              </w:rPr>
              <w:t>对二甲苯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邻二甲苯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硝基苯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苯胺</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w:t>
            </w:r>
            <w:r>
              <w:rPr>
                <w:rFonts w:ascii="Times New Roman" w:hAnsi="Times New Roman"/>
              </w:rPr>
              <w:t>氯酚</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2256mg/kg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[b]</w:t>
            </w:r>
            <w:r>
              <w:rPr>
                <w:rFonts w:ascii="Times New Roman" w:hAnsi="Times New Roman"/>
              </w:rPr>
              <w:t>荧蒽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[k]</w:t>
            </w:r>
            <w:r>
              <w:rPr>
                <w:rFonts w:ascii="Times New Roman" w:hAnsi="Times New Roman"/>
              </w:rPr>
              <w:t>荧蒽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151mg/kg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䓛</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二苯并</w:t>
            </w:r>
            <w:r>
              <w:rPr>
                <w:rFonts w:ascii="Times New Roman" w:hAnsi="Times New Roman"/>
              </w:rPr>
              <w:t>[a</w:t>
            </w:r>
            <w:r>
              <w:rPr>
                <w:rFonts w:ascii="Times New Roman" w:hAnsi="Times New Roman"/>
              </w:rPr>
              <w:t>，</w:t>
            </w:r>
            <w:r>
              <w:rPr>
                <w:rFonts w:ascii="Times New Roman" w:hAnsi="Times New Roman"/>
              </w:rPr>
              <w:t>h]</w:t>
            </w:r>
            <w:r>
              <w:rPr>
                <w:rFonts w:ascii="Times New Roman" w:hAnsi="Times New Roman"/>
              </w:rPr>
              <w:t>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茚并（</w:t>
            </w:r>
            <w:r>
              <w:rPr>
                <w:rFonts w:ascii="Times New Roman" w:hAnsi="Times New Roman"/>
              </w:rPr>
              <w:t>1,2,3-c</w:t>
            </w:r>
            <w:r>
              <w:rPr>
                <w:rFonts w:ascii="Times New Roman" w:hAnsi="Times New Roman"/>
              </w:rPr>
              <w:t>，</w:t>
            </w:r>
            <w:r>
              <w:rPr>
                <w:rFonts w:ascii="Times New Roman" w:hAnsi="Times New Roman"/>
              </w:rPr>
              <w:t>d</w:t>
            </w:r>
            <w:r>
              <w:rPr>
                <w:rFonts w:ascii="Times New Roman" w:hAnsi="Times New Roman"/>
              </w:rPr>
              <w:t>）芘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二噁英</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rPr>
            </w:pPr>
            <w:r>
              <w:rPr>
                <w:rFonts w:hint="eastAsia"/>
              </w:rPr>
              <w:t>0.18TEQng/kg</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u w:val="single"/>
              </w:rPr>
              <w:t>4×10</w:t>
            </w:r>
            <w:r>
              <w:rPr>
                <w:rFonts w:ascii="Times New Roman" w:hAnsi="Times New Roman"/>
                <w:u w:val="single"/>
                <w:vertAlign w:val="superscript"/>
              </w:rPr>
              <w:t>-5</w:t>
            </w:r>
            <w:r>
              <w:rPr>
                <w:rFonts w:ascii="Times New Roman" w:hAnsi="Times New Roman"/>
              </w:rPr>
              <w:t>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检测项目</w:t>
            </w:r>
          </w:p>
        </w:tc>
        <w:tc>
          <w:tcPr>
            <w:tcW w:w="1661" w:type="pct"/>
            <w:gridSpan w:val="13"/>
            <w:tcBorders>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eastAsiaTheme="minorEastAsia" w:hAnsi="Times New Roman"/>
              </w:rPr>
              <w:t>BT1</w:t>
            </w:r>
          </w:p>
        </w:tc>
        <w:tc>
          <w:tcPr>
            <w:tcW w:w="1784" w:type="pct"/>
            <w:gridSpan w:val="16"/>
            <w:tcBorders>
              <w:left w:val="single" w:sz="4" w:space="0" w:color="auto"/>
              <w:bottom w:val="single" w:sz="4" w:space="0" w:color="000000"/>
              <w:right w:val="single" w:sz="4" w:space="0" w:color="auto"/>
            </w:tcBorders>
            <w:noWrap/>
            <w:vAlign w:val="center"/>
          </w:tcPr>
          <w:p w:rsidR="002E0378" w:rsidRDefault="005C380A">
            <w:pPr>
              <w:rPr>
                <w:rFonts w:ascii="Times New Roman" w:eastAsiaTheme="minorEastAsia" w:hAnsi="Times New Roman"/>
              </w:rPr>
            </w:pPr>
            <w:r>
              <w:rPr>
                <w:rFonts w:ascii="Times New Roman" w:eastAsiaTheme="minorEastAsia" w:hAnsi="Times New Roman"/>
              </w:rPr>
              <w:t>BT2</w:t>
            </w:r>
          </w:p>
        </w:tc>
        <w:tc>
          <w:tcPr>
            <w:tcW w:w="472" w:type="pct"/>
            <w:gridSpan w:val="2"/>
            <w:vMerge w:val="restart"/>
            <w:tcBorders>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标准值</w:t>
            </w:r>
          </w:p>
        </w:tc>
        <w:tc>
          <w:tcPr>
            <w:tcW w:w="234" w:type="pct"/>
            <w:gridSpan w:val="2"/>
            <w:vMerge w:val="restart"/>
            <w:tcBorders>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评价</w:t>
            </w:r>
          </w:p>
          <w:p w:rsidR="002E0378" w:rsidRDefault="005C380A">
            <w:pPr>
              <w:rPr>
                <w:rFonts w:ascii="Times New Roman" w:hAnsi="Times New Roman"/>
                <w:kern w:val="1"/>
              </w:rPr>
            </w:pPr>
            <w:r>
              <w:rPr>
                <w:rFonts w:ascii="Times New Roman" w:hAnsi="Times New Roman"/>
                <w:kern w:val="1"/>
              </w:rPr>
              <w:t>结果</w:t>
            </w:r>
          </w:p>
        </w:tc>
      </w:tr>
      <w:tr w:rsidR="002E0378">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2E0378" w:rsidRDefault="002E0378">
            <w:pPr>
              <w:jc w:val="left"/>
              <w:rPr>
                <w:rFonts w:ascii="Times New Roman" w:hAnsi="Times New Roman"/>
                <w:kern w:val="1"/>
              </w:rPr>
            </w:pPr>
          </w:p>
        </w:tc>
        <w:tc>
          <w:tcPr>
            <w:tcW w:w="439"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1.5-3.0m</w:t>
            </w:r>
          </w:p>
        </w:tc>
        <w:tc>
          <w:tcPr>
            <w:tcW w:w="34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271" w:type="pct"/>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rPr>
            </w:pPr>
            <w:r>
              <w:rPr>
                <w:rFonts w:ascii="Times New Roman" w:hAnsi="Times New Roman"/>
              </w:rPr>
              <w:t>0-0.5m</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1.5-3.0m</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270"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72" w:type="pct"/>
            <w:gridSpan w:val="2"/>
            <w:vMerge/>
            <w:tcBorders>
              <w:top w:val="single" w:sz="4" w:space="0" w:color="000000"/>
              <w:left w:val="single" w:sz="4" w:space="0" w:color="000000"/>
              <w:bottom w:val="single" w:sz="4" w:space="0" w:color="000000"/>
              <w:right w:val="single" w:sz="4" w:space="0" w:color="000000"/>
            </w:tcBorders>
            <w:noWrap/>
            <w:vAlign w:val="center"/>
          </w:tcPr>
          <w:p w:rsidR="002E0378" w:rsidRDefault="002E0378">
            <w:pPr>
              <w:jc w:val="left"/>
              <w:rPr>
                <w:rFonts w:ascii="Times New Roman" w:hAnsi="Times New Roman"/>
                <w:kern w:val="1"/>
              </w:rPr>
            </w:pPr>
          </w:p>
        </w:tc>
        <w:tc>
          <w:tcPr>
            <w:tcW w:w="234" w:type="pct"/>
            <w:gridSpan w:val="2"/>
            <w:vMerge/>
            <w:tcBorders>
              <w:top w:val="single" w:sz="4" w:space="0" w:color="000000"/>
              <w:left w:val="single" w:sz="4" w:space="0" w:color="000000"/>
              <w:bottom w:val="single" w:sz="4" w:space="0" w:color="000000"/>
            </w:tcBorders>
            <w:noWrap/>
            <w:vAlign w:val="center"/>
          </w:tcPr>
          <w:p w:rsidR="002E0378" w:rsidRDefault="002E0378">
            <w:pPr>
              <w:jc w:val="left"/>
              <w:rPr>
                <w:rFonts w:ascii="Times New Roman" w:hAnsi="Times New Roman"/>
                <w:kern w:val="1"/>
              </w:rPr>
            </w:pPr>
          </w:p>
        </w:tc>
      </w:tr>
      <w:tr w:rsidR="002E0378">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11.8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9.7</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8.9</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10.7</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10.1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10.5</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10.0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8.4</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镉</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0.29</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铬（六价）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1.6</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铜</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31</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41</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22</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18000mg/kg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铅</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1.3</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汞</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0.056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0.039</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0.060</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0.057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0.036</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镍</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57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40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41</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四氯化碳</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氯仿</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顺</w:t>
            </w:r>
            <w:r>
              <w:rPr>
                <w:rFonts w:ascii="Times New Roman" w:hAnsi="Times New Roman"/>
              </w:rPr>
              <w:t>-1,2-</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596mg/kg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反</w:t>
            </w:r>
            <w:r>
              <w:rPr>
                <w:rFonts w:ascii="Times New Roman" w:hAnsi="Times New Roman"/>
              </w:rPr>
              <w:t>-1,2-</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616mg/kg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1,1,1,2-</w:t>
            </w:r>
            <w:r>
              <w:rPr>
                <w:rFonts w:ascii="Times New Roman" w:hAnsi="Times New Roman"/>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1,1,2,2-</w:t>
            </w:r>
            <w:r>
              <w:rPr>
                <w:rFonts w:ascii="Times New Roman" w:hAnsi="Times New Roman"/>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w:t>
            </w:r>
            <w:r>
              <w:rPr>
                <w:rFonts w:ascii="Times New Roman" w:hAnsi="Times New Roman"/>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w:t>
            </w:r>
            <w:r>
              <w:rPr>
                <w:rFonts w:ascii="Times New Roman" w:hAnsi="Times New Roman"/>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三氯乙烯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1,2,3-</w:t>
            </w:r>
            <w:r>
              <w:rPr>
                <w:rFonts w:ascii="Times New Roman" w:hAnsi="Times New Roman"/>
              </w:rPr>
              <w:t>三氯丙烷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0.43mg/kg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1,4-</w:t>
            </w:r>
            <w:r>
              <w:rPr>
                <w:rFonts w:ascii="Times New Roman" w:hAnsi="Times New Roman"/>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乙苯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282mg/kg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间二甲苯</w:t>
            </w:r>
            <w:r>
              <w:rPr>
                <w:rFonts w:ascii="Times New Roman" w:hAnsi="Times New Roman"/>
              </w:rPr>
              <w:t>+</w:t>
            </w:r>
            <w:r>
              <w:rPr>
                <w:rFonts w:ascii="Times New Roman" w:hAnsi="Times New Roman"/>
              </w:rPr>
              <w:t>对二甲苯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邻二甲苯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硝基苯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苯胺</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w:t>
            </w:r>
            <w:r>
              <w:rPr>
                <w:rFonts w:ascii="Times New Roman" w:hAnsi="Times New Roman"/>
              </w:rPr>
              <w:t>氯酚</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2256mg/kg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[b]</w:t>
            </w:r>
            <w:r>
              <w:rPr>
                <w:rFonts w:ascii="Times New Roman" w:hAnsi="Times New Roman"/>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[k]</w:t>
            </w:r>
            <w:r>
              <w:rPr>
                <w:rFonts w:ascii="Times New Roman" w:hAnsi="Times New Roman"/>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151mg/kg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䓛</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二苯并</w:t>
            </w:r>
            <w:r>
              <w:rPr>
                <w:rFonts w:ascii="Times New Roman" w:hAnsi="Times New Roman"/>
              </w:rPr>
              <w:t>[a</w:t>
            </w:r>
            <w:r>
              <w:rPr>
                <w:rFonts w:ascii="Times New Roman" w:hAnsi="Times New Roman"/>
              </w:rPr>
              <w:t>，</w:t>
            </w:r>
            <w:r>
              <w:rPr>
                <w:rFonts w:ascii="Times New Roman" w:hAnsi="Times New Roman"/>
              </w:rPr>
              <w:t>h]</w:t>
            </w:r>
            <w:r>
              <w:rPr>
                <w:rFonts w:ascii="Times New Roman" w:hAnsi="Times New Roman"/>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茚并（</w:t>
            </w:r>
            <w:r>
              <w:rPr>
                <w:rFonts w:ascii="Times New Roman" w:hAnsi="Times New Roman"/>
              </w:rPr>
              <w:t>1,2,3-c</w:t>
            </w:r>
            <w:r>
              <w:rPr>
                <w:rFonts w:ascii="Times New Roman" w:hAnsi="Times New Roman"/>
              </w:rPr>
              <w:t>，</w:t>
            </w:r>
            <w:r>
              <w:rPr>
                <w:rFonts w:ascii="Times New Roman" w:hAnsi="Times New Roman"/>
              </w:rPr>
              <w:t>d</w:t>
            </w:r>
            <w:r>
              <w:rPr>
                <w:rFonts w:ascii="Times New Roman" w:hAnsi="Times New Roman"/>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二噁英</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0.15TEQng/kg</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444" w:type="pct"/>
            <w:gridSpan w:val="4"/>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u w:color="FFFFFF"/>
              </w:rPr>
            </w:pPr>
            <w:r>
              <w:rPr>
                <w:rFonts w:hint="eastAsia"/>
              </w:rPr>
              <w:t>0.15TEQng/kg</w:t>
            </w:r>
          </w:p>
        </w:tc>
        <w:tc>
          <w:tcPr>
            <w:tcW w:w="295"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u w:val="single"/>
              </w:rPr>
              <w:t>4×10</w:t>
            </w:r>
            <w:r>
              <w:rPr>
                <w:rFonts w:ascii="Times New Roman" w:hAnsi="Times New Roman"/>
                <w:u w:val="single"/>
                <w:vertAlign w:val="superscript"/>
              </w:rPr>
              <w:t>-5</w:t>
            </w:r>
            <w:r>
              <w:rPr>
                <w:rFonts w:ascii="Times New Roman" w:hAnsi="Times New Roman"/>
              </w:rPr>
              <w:t>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检测项目</w:t>
            </w:r>
          </w:p>
        </w:tc>
        <w:tc>
          <w:tcPr>
            <w:tcW w:w="1661" w:type="pct"/>
            <w:gridSpan w:val="13"/>
            <w:tcBorders>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eastAsiaTheme="minorEastAsia" w:hAnsi="Times New Roman"/>
              </w:rPr>
              <w:t>BT3</w:t>
            </w:r>
          </w:p>
        </w:tc>
        <w:tc>
          <w:tcPr>
            <w:tcW w:w="1784" w:type="pct"/>
            <w:gridSpan w:val="16"/>
            <w:tcBorders>
              <w:left w:val="single" w:sz="4" w:space="0" w:color="auto"/>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eastAsiaTheme="minorEastAsia" w:hAnsi="Times New Roman"/>
              </w:rPr>
              <w:t>BT4</w:t>
            </w:r>
          </w:p>
        </w:tc>
        <w:tc>
          <w:tcPr>
            <w:tcW w:w="465" w:type="pct"/>
            <w:vMerge w:val="restart"/>
            <w:tcBorders>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标准值</w:t>
            </w:r>
          </w:p>
        </w:tc>
        <w:tc>
          <w:tcPr>
            <w:tcW w:w="241" w:type="pct"/>
            <w:gridSpan w:val="3"/>
            <w:vMerge w:val="restart"/>
            <w:tcBorders>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评价</w:t>
            </w:r>
          </w:p>
          <w:p w:rsidR="002E0378" w:rsidRDefault="005C380A">
            <w:pPr>
              <w:rPr>
                <w:rFonts w:ascii="Times New Roman" w:hAnsi="Times New Roman"/>
                <w:kern w:val="1"/>
              </w:rPr>
            </w:pPr>
            <w:r>
              <w:rPr>
                <w:rFonts w:ascii="Times New Roman" w:hAnsi="Times New Roman"/>
                <w:kern w:val="1"/>
              </w:rPr>
              <w:t>结果</w:t>
            </w:r>
          </w:p>
        </w:tc>
      </w:tr>
      <w:tr w:rsidR="002E0378">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2E0378" w:rsidRDefault="002E0378">
            <w:pPr>
              <w:jc w:val="left"/>
              <w:rPr>
                <w:rFonts w:ascii="Times New Roman" w:hAnsi="Times New Roman"/>
                <w:kern w:val="1"/>
              </w:rPr>
            </w:pPr>
          </w:p>
        </w:tc>
        <w:tc>
          <w:tcPr>
            <w:tcW w:w="439"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1.5-3.0m</w:t>
            </w:r>
          </w:p>
        </w:tc>
        <w:tc>
          <w:tcPr>
            <w:tcW w:w="34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271" w:type="pct"/>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rPr>
            </w:pPr>
            <w:r>
              <w:rPr>
                <w:rFonts w:ascii="Times New Roman" w:hAnsi="Times New Roman"/>
              </w:rPr>
              <w:t>0-0.5m</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1.5-3.0m</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270"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65" w:type="pct"/>
            <w:vMerge/>
            <w:tcBorders>
              <w:top w:val="single" w:sz="4" w:space="0" w:color="000000"/>
              <w:left w:val="single" w:sz="4" w:space="0" w:color="000000"/>
              <w:bottom w:val="single" w:sz="4" w:space="0" w:color="000000"/>
              <w:right w:val="single" w:sz="4" w:space="0" w:color="000000"/>
            </w:tcBorders>
            <w:noWrap/>
            <w:vAlign w:val="center"/>
          </w:tcPr>
          <w:p w:rsidR="002E0378" w:rsidRDefault="002E0378">
            <w:pPr>
              <w:jc w:val="left"/>
              <w:rPr>
                <w:rFonts w:ascii="Times New Roman" w:hAnsi="Times New Roman"/>
                <w:kern w:val="1"/>
              </w:rPr>
            </w:pPr>
          </w:p>
        </w:tc>
        <w:tc>
          <w:tcPr>
            <w:tcW w:w="241" w:type="pct"/>
            <w:gridSpan w:val="3"/>
            <w:vMerge/>
            <w:tcBorders>
              <w:top w:val="single" w:sz="4" w:space="0" w:color="000000"/>
              <w:left w:val="single" w:sz="4" w:space="0" w:color="000000"/>
              <w:bottom w:val="single" w:sz="4" w:space="0" w:color="000000"/>
            </w:tcBorders>
            <w:noWrap/>
            <w:vAlign w:val="center"/>
          </w:tcPr>
          <w:p w:rsidR="002E0378" w:rsidRDefault="002E0378">
            <w:pPr>
              <w:jc w:val="left"/>
              <w:rPr>
                <w:rFonts w:ascii="Times New Roman" w:hAnsi="Times New Roman"/>
                <w:kern w:val="1"/>
              </w:rPr>
            </w:pPr>
          </w:p>
        </w:tc>
      </w:tr>
      <w:tr w:rsidR="002E0378">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10.0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8.4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7.6</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6.8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6.8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7.9</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5.8</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60mg/kg</w:t>
            </w:r>
          </w:p>
        </w:tc>
        <w:tc>
          <w:tcPr>
            <w:tcW w:w="241" w:type="pct"/>
            <w:gridSpan w:val="3"/>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镉</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0.18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0.20</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0.22</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0.24</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65mg/kg</w:t>
            </w:r>
          </w:p>
        </w:tc>
        <w:tc>
          <w:tcPr>
            <w:tcW w:w="241" w:type="pct"/>
            <w:gridSpan w:val="3"/>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铬（六价）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5.7mg/kg</w:t>
            </w:r>
          </w:p>
        </w:tc>
        <w:tc>
          <w:tcPr>
            <w:tcW w:w="241" w:type="pct"/>
            <w:gridSpan w:val="3"/>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铜</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29</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36</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18000mg/kg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铅</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1.3</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0.4</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0.7</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汞</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0.041</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0.024</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0.057</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0.027</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镍</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36</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28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43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四氯化碳</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氯仿</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顺</w:t>
            </w:r>
            <w:r>
              <w:rPr>
                <w:rFonts w:ascii="Times New Roman" w:hAnsi="Times New Roman"/>
              </w:rPr>
              <w:t>-1,2-</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596mg/kg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反</w:t>
            </w:r>
            <w:r>
              <w:rPr>
                <w:rFonts w:ascii="Times New Roman" w:hAnsi="Times New Roman"/>
              </w:rPr>
              <w:t>-1,2-</w:t>
            </w:r>
            <w:r>
              <w:rPr>
                <w:rFonts w:ascii="Times New Roman" w:hAnsi="Times New Roman"/>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616mg/kg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1,1,1,2-</w:t>
            </w:r>
            <w:r>
              <w:rPr>
                <w:rFonts w:ascii="Times New Roman" w:hAnsi="Times New Roman"/>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1,1,2,2-</w:t>
            </w:r>
            <w:r>
              <w:rPr>
                <w:rFonts w:ascii="Times New Roman" w:hAnsi="Times New Roman"/>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w:t>
            </w:r>
            <w:r>
              <w:rPr>
                <w:rFonts w:ascii="Times New Roman" w:hAnsi="Times New Roman"/>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w:t>
            </w:r>
            <w:r>
              <w:rPr>
                <w:rFonts w:ascii="Times New Roman" w:hAnsi="Times New Roman"/>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三氯乙烯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1,2,3-</w:t>
            </w:r>
            <w:r>
              <w:rPr>
                <w:rFonts w:ascii="Times New Roman" w:hAnsi="Times New Roman"/>
              </w:rPr>
              <w:t>三氯丙烷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0.43mg/kg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1,4-</w:t>
            </w:r>
            <w:r>
              <w:rPr>
                <w:rFonts w:ascii="Times New Roman" w:hAnsi="Times New Roman"/>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乙苯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282mg/kg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间二甲苯</w:t>
            </w:r>
            <w:r>
              <w:rPr>
                <w:rFonts w:ascii="Times New Roman" w:hAnsi="Times New Roman"/>
              </w:rPr>
              <w:t>+</w:t>
            </w:r>
            <w:r>
              <w:rPr>
                <w:rFonts w:ascii="Times New Roman" w:hAnsi="Times New Roman"/>
              </w:rPr>
              <w:t>对二甲苯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邻二甲苯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硝基苯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苯胺</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w:t>
            </w:r>
            <w:r>
              <w:rPr>
                <w:rFonts w:ascii="Times New Roman" w:hAnsi="Times New Roman"/>
              </w:rPr>
              <w:t>氯酚</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2256mg/kg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[b]</w:t>
            </w:r>
            <w:r>
              <w:rPr>
                <w:rFonts w:ascii="Times New Roman" w:hAnsi="Times New Roman"/>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[k]</w:t>
            </w:r>
            <w:r>
              <w:rPr>
                <w:rFonts w:ascii="Times New Roman" w:hAnsi="Times New Roman"/>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151mg/kg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䓛</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二苯并</w:t>
            </w:r>
            <w:r>
              <w:rPr>
                <w:rFonts w:ascii="Times New Roman" w:hAnsi="Times New Roman"/>
              </w:rPr>
              <w:t>[a</w:t>
            </w:r>
            <w:r>
              <w:rPr>
                <w:rFonts w:ascii="Times New Roman" w:hAnsi="Times New Roman"/>
              </w:rPr>
              <w:t>，</w:t>
            </w:r>
            <w:r>
              <w:rPr>
                <w:rFonts w:ascii="Times New Roman" w:hAnsi="Times New Roman"/>
              </w:rPr>
              <w:t>h]</w:t>
            </w:r>
            <w:r>
              <w:rPr>
                <w:rFonts w:ascii="Times New Roman" w:hAnsi="Times New Roman"/>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茚并（</w:t>
            </w:r>
            <w:r>
              <w:rPr>
                <w:rFonts w:ascii="Times New Roman" w:hAnsi="Times New Roman"/>
              </w:rPr>
              <w:t>1,2,3-c</w:t>
            </w:r>
            <w:r>
              <w:rPr>
                <w:rFonts w:ascii="Times New Roman" w:hAnsi="Times New Roman"/>
              </w:rPr>
              <w:t>，</w:t>
            </w:r>
            <w:r>
              <w:rPr>
                <w:rFonts w:ascii="Times New Roman" w:hAnsi="Times New Roman"/>
              </w:rPr>
              <w:t>d</w:t>
            </w:r>
            <w:r>
              <w:rPr>
                <w:rFonts w:ascii="Times New Roman" w:hAnsi="Times New Roman"/>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二噁英</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u w:color="FFFFFF"/>
              </w:rPr>
            </w:pPr>
            <w:r>
              <w:rPr>
                <w:rFonts w:hint="eastAsia"/>
              </w:rPr>
              <w:t>0.16TEQng/kg</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u w:val="single"/>
              </w:rPr>
              <w:t>4×10</w:t>
            </w:r>
            <w:r>
              <w:rPr>
                <w:rFonts w:ascii="Times New Roman" w:hAnsi="Times New Roman"/>
                <w:u w:val="single"/>
                <w:vertAlign w:val="superscript"/>
              </w:rPr>
              <w:t>-5</w:t>
            </w:r>
            <w:r>
              <w:rPr>
                <w:rFonts w:ascii="Times New Roman" w:hAnsi="Times New Roman"/>
              </w:rPr>
              <w:t>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90"/>
          <w:jc w:val="center"/>
        </w:trPr>
        <w:tc>
          <w:tcPr>
            <w:tcW w:w="833" w:type="pct"/>
            <w:vMerge w:val="restart"/>
            <w:tcBorders>
              <w:bottom w:val="single" w:sz="6"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检测项目</w:t>
            </w:r>
          </w:p>
        </w:tc>
        <w:tc>
          <w:tcPr>
            <w:tcW w:w="1661" w:type="pct"/>
            <w:gridSpan w:val="13"/>
            <w:tcBorders>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BT5</w:t>
            </w:r>
          </w:p>
        </w:tc>
        <w:tc>
          <w:tcPr>
            <w:tcW w:w="1779" w:type="pct"/>
            <w:gridSpan w:val="15"/>
            <w:tcBorders>
              <w:left w:val="single" w:sz="4" w:space="0" w:color="auto"/>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CT1</w:t>
            </w:r>
          </w:p>
        </w:tc>
        <w:tc>
          <w:tcPr>
            <w:tcW w:w="490" w:type="pct"/>
            <w:gridSpan w:val="4"/>
            <w:vMerge w:val="restart"/>
            <w:tcBorders>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标准值</w:t>
            </w:r>
          </w:p>
        </w:tc>
        <w:tc>
          <w:tcPr>
            <w:tcW w:w="234" w:type="pct"/>
            <w:gridSpan w:val="2"/>
            <w:vMerge w:val="restart"/>
            <w:tcBorders>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评价</w:t>
            </w:r>
          </w:p>
          <w:p w:rsidR="002E0378" w:rsidRDefault="005C380A">
            <w:pPr>
              <w:rPr>
                <w:rFonts w:ascii="Times New Roman" w:hAnsi="Times New Roman"/>
                <w:kern w:val="1"/>
              </w:rPr>
            </w:pPr>
            <w:r>
              <w:rPr>
                <w:rFonts w:ascii="Times New Roman" w:hAnsi="Times New Roman"/>
                <w:kern w:val="1"/>
              </w:rPr>
              <w:t>结果</w:t>
            </w:r>
          </w:p>
        </w:tc>
      </w:tr>
      <w:tr w:rsidR="002E0378">
        <w:trPr>
          <w:trHeight w:val="179"/>
          <w:jc w:val="center"/>
        </w:trPr>
        <w:tc>
          <w:tcPr>
            <w:tcW w:w="833" w:type="pct"/>
            <w:vMerge/>
            <w:tcBorders>
              <w:top w:val="single" w:sz="6" w:space="0" w:color="000000"/>
              <w:bottom w:val="single" w:sz="6" w:space="0" w:color="000000"/>
              <w:right w:val="single" w:sz="4" w:space="0" w:color="000000"/>
            </w:tcBorders>
            <w:noWrap/>
          </w:tcPr>
          <w:p w:rsidR="002E0378" w:rsidRDefault="002E0378">
            <w:pPr>
              <w:jc w:val="left"/>
              <w:rPr>
                <w:rFonts w:ascii="Times New Roman" w:hAnsi="Times New Roman"/>
                <w:kern w:val="1"/>
              </w:rPr>
            </w:pPr>
          </w:p>
        </w:tc>
        <w:tc>
          <w:tcPr>
            <w:tcW w:w="220" w:type="pct"/>
            <w:gridSpan w:val="2"/>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1.5-3.0m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530" w:type="pct"/>
            <w:gridSpan w:val="2"/>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286" w:type="pct"/>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rPr>
            </w:pPr>
            <w:r>
              <w:rPr>
                <w:rFonts w:ascii="Times New Roman" w:hAnsi="Times New Roman"/>
              </w:rPr>
              <w:t>0-0.5m</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1.5-3.0m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3.0-4.5m</w:t>
            </w:r>
          </w:p>
        </w:tc>
        <w:tc>
          <w:tcPr>
            <w:tcW w:w="380" w:type="pct"/>
            <w:gridSpan w:val="3"/>
            <w:tcBorders>
              <w:top w:val="single" w:sz="4" w:space="0" w:color="000000"/>
              <w:left w:val="single" w:sz="4" w:space="0" w:color="000000"/>
              <w:bottom w:val="single" w:sz="4" w:space="0" w:color="000000"/>
              <w:right w:val="single" w:sz="4" w:space="0" w:color="auto"/>
            </w:tcBorders>
            <w:noWrap/>
            <w:vAlign w:val="center"/>
          </w:tcPr>
          <w:p w:rsidR="002E0378" w:rsidRDefault="005C380A">
            <w:pPr>
              <w:rPr>
                <w:rFonts w:ascii="Times New Roman" w:hAnsi="Times New Roman"/>
              </w:rPr>
            </w:pPr>
            <w:r>
              <w:rPr>
                <w:rFonts w:ascii="Times New Roman" w:hAnsi="Times New Roman"/>
              </w:rPr>
              <w:t>4.5-6.0m</w:t>
            </w:r>
          </w:p>
        </w:tc>
        <w:tc>
          <w:tcPr>
            <w:tcW w:w="490" w:type="pct"/>
            <w:gridSpan w:val="4"/>
            <w:vMerge/>
            <w:tcBorders>
              <w:top w:val="single" w:sz="4" w:space="0" w:color="000000"/>
              <w:left w:val="single" w:sz="4" w:space="0" w:color="000000"/>
              <w:bottom w:val="single" w:sz="4" w:space="0" w:color="000000"/>
              <w:right w:val="single" w:sz="4" w:space="0" w:color="000000"/>
            </w:tcBorders>
            <w:noWrap/>
            <w:vAlign w:val="center"/>
          </w:tcPr>
          <w:p w:rsidR="002E0378" w:rsidRDefault="002E0378">
            <w:pPr>
              <w:jc w:val="left"/>
              <w:rPr>
                <w:rFonts w:ascii="Times New Roman" w:hAnsi="Times New Roman"/>
                <w:kern w:val="1"/>
              </w:rPr>
            </w:pPr>
          </w:p>
        </w:tc>
        <w:tc>
          <w:tcPr>
            <w:tcW w:w="234" w:type="pct"/>
            <w:gridSpan w:val="2"/>
            <w:vMerge/>
            <w:tcBorders>
              <w:top w:val="single" w:sz="4" w:space="0" w:color="000000"/>
              <w:left w:val="single" w:sz="4" w:space="0" w:color="000000"/>
              <w:bottom w:val="single" w:sz="4" w:space="0" w:color="000000"/>
            </w:tcBorders>
            <w:noWrap/>
            <w:vAlign w:val="center"/>
          </w:tcPr>
          <w:p w:rsidR="002E0378" w:rsidRDefault="002E0378">
            <w:pPr>
              <w:jc w:val="left"/>
              <w:rPr>
                <w:rFonts w:ascii="Times New Roman" w:hAnsi="Times New Roman"/>
                <w:kern w:val="1"/>
              </w:rPr>
            </w:pPr>
          </w:p>
        </w:tc>
      </w:tr>
      <w:tr w:rsidR="002E0378">
        <w:trPr>
          <w:trHeight w:val="245"/>
          <w:jc w:val="center"/>
        </w:trPr>
        <w:tc>
          <w:tcPr>
            <w:tcW w:w="833" w:type="pct"/>
            <w:tcBorders>
              <w:top w:val="single" w:sz="6"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8.3</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9.5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6.8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6.4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10.4</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9.2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9.0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6.3</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6.1</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镉</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0.16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0.22</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0.38</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0.37</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0.21</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0.30</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铬（六价）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1.3</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1.2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0.6</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铜</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27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28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18000mg/kg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铅</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0.7</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rPr>
              <w:t>1.2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0.5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汞</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0.037</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0.050</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0.041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0.027</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0.034</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镍</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37</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34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rPr>
              <w:t>27</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43</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四氯化碳</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氯仿</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氯甲烷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37mg/kg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9mg/kg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w:t>
            </w:r>
            <w:r>
              <w:rPr>
                <w:rFonts w:ascii="Times New Roman" w:hAnsi="Times New Roman"/>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顺</w:t>
            </w:r>
            <w:r>
              <w:rPr>
                <w:rFonts w:ascii="Times New Roman" w:hAnsi="Times New Roman"/>
              </w:rPr>
              <w:t>-1,2-</w:t>
            </w:r>
            <w:r>
              <w:rPr>
                <w:rFonts w:ascii="Times New Roman" w:hAnsi="Times New Roman"/>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596mg/kg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反</w:t>
            </w:r>
            <w:r>
              <w:rPr>
                <w:rFonts w:ascii="Times New Roman" w:hAnsi="Times New Roman"/>
              </w:rPr>
              <w:t>-1,2-</w:t>
            </w:r>
            <w:r>
              <w:rPr>
                <w:rFonts w:ascii="Times New Roman" w:hAnsi="Times New Roman"/>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二氯甲烷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616mg/kg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1,2-</w:t>
            </w:r>
            <w:r>
              <w:rPr>
                <w:rFonts w:ascii="Times New Roman" w:hAnsi="Times New Roman"/>
              </w:rPr>
              <w:t>二氯丙烷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1,1,1,2-</w:t>
            </w:r>
            <w:r>
              <w:rPr>
                <w:rFonts w:ascii="Times New Roman" w:hAnsi="Times New Roman"/>
              </w:rPr>
              <w:t>四氯乙烷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1,1,2,2-</w:t>
            </w:r>
            <w:r>
              <w:rPr>
                <w:rFonts w:ascii="Times New Roman" w:hAnsi="Times New Roman"/>
              </w:rPr>
              <w:t>四氯乙烷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3.8mg/kg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四氯乙烯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1,1,1-</w:t>
            </w:r>
            <w:r>
              <w:rPr>
                <w:rFonts w:ascii="Times New Roman" w:hAnsi="Times New Roman"/>
              </w:rPr>
              <w:t>三氯乙烷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840mg/kg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1,1,2-</w:t>
            </w:r>
            <w:r>
              <w:rPr>
                <w:rFonts w:ascii="Times New Roman" w:hAnsi="Times New Roman"/>
              </w:rPr>
              <w:t>三氯乙烷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三氯乙烯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1,2,3-</w:t>
            </w:r>
            <w:r>
              <w:rPr>
                <w:rFonts w:ascii="Times New Roman" w:hAnsi="Times New Roman"/>
              </w:rPr>
              <w:t>三氯丙烷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0.43mg/kg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4mg/kg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w:t>
            </w:r>
            <w:r>
              <w:rPr>
                <w:rFonts w:ascii="Times New Roman" w:hAnsi="Times New Roman"/>
              </w:rPr>
              <w:t>二氯苯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1,4-</w:t>
            </w:r>
            <w:r>
              <w:rPr>
                <w:rFonts w:ascii="Times New Roman" w:hAnsi="Times New Roman"/>
              </w:rPr>
              <w:t>二氯苯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乙苯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282mg/kg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1200mg/kg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间二甲苯</w:t>
            </w:r>
            <w:r>
              <w:rPr>
                <w:rFonts w:ascii="Times New Roman" w:hAnsi="Times New Roman"/>
              </w:rPr>
              <w:t>+</w:t>
            </w:r>
            <w:r>
              <w:rPr>
                <w:rFonts w:ascii="Times New Roman" w:hAnsi="Times New Roman"/>
              </w:rPr>
              <w:t>对二甲苯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570mg/kg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邻二甲苯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640mg/kg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硝基苯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苯胺</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260mg/kg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w:t>
            </w:r>
            <w:r>
              <w:rPr>
                <w:rFonts w:ascii="Times New Roman" w:hAnsi="Times New Roman"/>
              </w:rPr>
              <w:t>氯酚</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2256mg/kg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[a]</w:t>
            </w:r>
            <w:r>
              <w:rPr>
                <w:rFonts w:ascii="Times New Roman" w:hAnsi="Times New Roman"/>
              </w:rPr>
              <w:t>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苯并</w:t>
            </w:r>
            <w:r>
              <w:rPr>
                <w:rFonts w:ascii="Times New Roman" w:hAnsi="Times New Roman"/>
              </w:rPr>
              <w:t>[b]</w:t>
            </w:r>
            <w:r>
              <w:rPr>
                <w:rFonts w:ascii="Times New Roman" w:hAnsi="Times New Roman"/>
              </w:rPr>
              <w:t>荧蒽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lastRenderedPageBreak/>
              <w:t>苯并</w:t>
            </w:r>
            <w:r>
              <w:rPr>
                <w:rFonts w:ascii="Times New Roman" w:hAnsi="Times New Roman"/>
              </w:rPr>
              <w:t>[k]</w:t>
            </w:r>
            <w:r>
              <w:rPr>
                <w:rFonts w:ascii="Times New Roman" w:hAnsi="Times New Roman"/>
              </w:rPr>
              <w:t>荧蒽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151mg/kg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䓛</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1293mg/kg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二苯并</w:t>
            </w:r>
            <w:r>
              <w:rPr>
                <w:rFonts w:ascii="Times New Roman" w:hAnsi="Times New Roman"/>
              </w:rPr>
              <w:t>[a</w:t>
            </w:r>
            <w:r>
              <w:rPr>
                <w:rFonts w:ascii="Times New Roman" w:hAnsi="Times New Roman"/>
              </w:rPr>
              <w:t>，</w:t>
            </w:r>
            <w:r>
              <w:rPr>
                <w:rFonts w:ascii="Times New Roman" w:hAnsi="Times New Roman"/>
              </w:rPr>
              <w:t>h]</w:t>
            </w:r>
            <w:r>
              <w:rPr>
                <w:rFonts w:ascii="Times New Roman" w:hAnsi="Times New Roman"/>
              </w:rPr>
              <w:t>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茚并（</w:t>
            </w:r>
            <w:r>
              <w:rPr>
                <w:rFonts w:ascii="Times New Roman" w:hAnsi="Times New Roman"/>
              </w:rPr>
              <w:t>1,2,3-c</w:t>
            </w:r>
            <w:r>
              <w:rPr>
                <w:rFonts w:ascii="Times New Roman" w:hAnsi="Times New Roman"/>
              </w:rPr>
              <w:t>，</w:t>
            </w:r>
            <w:r>
              <w:rPr>
                <w:rFonts w:ascii="Times New Roman" w:hAnsi="Times New Roman"/>
              </w:rPr>
              <w:t>d</w:t>
            </w:r>
            <w:r>
              <w:rPr>
                <w:rFonts w:ascii="Times New Roman" w:hAnsi="Times New Roman"/>
              </w:rPr>
              <w:t>）芘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15mg/kg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textAlignment w:val="center"/>
              <w:rPr>
                <w:rFonts w:ascii="Times New Roman" w:eastAsiaTheme="minorEastAsia" w:hAnsi="Times New Roman"/>
                <w:u w:color="FFFFFF"/>
              </w:rPr>
            </w:pPr>
            <w:r>
              <w:rPr>
                <w:rFonts w:ascii="Times New Roman" w:hAnsi="Times New Roman"/>
                <w:color w:val="000000"/>
                <w:kern w:val="0"/>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kern w:val="1"/>
              </w:rPr>
            </w:pPr>
            <w:r>
              <w:rPr>
                <w:rFonts w:ascii="Times New Roman" w:hAnsi="Times New Roman"/>
              </w:rPr>
              <w:t>70mg/kg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r w:rsidR="002E0378">
        <w:trPr>
          <w:trHeight w:val="179"/>
          <w:jc w:val="center"/>
        </w:trPr>
        <w:tc>
          <w:tcPr>
            <w:tcW w:w="833" w:type="pct"/>
            <w:tcBorders>
              <w:top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rPr>
              <w:t>二噁英</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hint="eastAsia"/>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E0378" w:rsidRDefault="005C380A">
            <w:pPr>
              <w:rPr>
                <w:rFonts w:ascii="Times New Roman" w:hAnsi="Times New Roman"/>
                <w:u w:color="FFFFFF"/>
              </w:rPr>
            </w:pPr>
            <w:r>
              <w:rPr>
                <w:rFonts w:hint="eastAsia"/>
              </w:rPr>
              <w:t>0.16TEQng/kg</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u w:color="FFFFFF"/>
              </w:rPr>
            </w:pPr>
            <w:r>
              <w:rPr>
                <w:rFonts w:hint="eastAsia"/>
              </w:rPr>
              <w:t>/</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2E0378" w:rsidRDefault="005C380A">
            <w:pPr>
              <w:rPr>
                <w:rFonts w:ascii="Times New Roman" w:hAnsi="Times New Roman"/>
              </w:rPr>
            </w:pPr>
            <w:r>
              <w:rPr>
                <w:rFonts w:ascii="Times New Roman" w:hAnsi="Times New Roman"/>
                <w:u w:val="single"/>
              </w:rPr>
              <w:t>4×10</w:t>
            </w:r>
            <w:r>
              <w:rPr>
                <w:rFonts w:ascii="Times New Roman" w:hAnsi="Times New Roman"/>
                <w:u w:val="single"/>
                <w:vertAlign w:val="superscript"/>
              </w:rPr>
              <w:t>-5</w:t>
            </w:r>
            <w:r>
              <w:rPr>
                <w:rFonts w:ascii="Times New Roman" w:hAnsi="Times New Roman"/>
              </w:rPr>
              <w:t>mg/kg</w:t>
            </w:r>
          </w:p>
        </w:tc>
        <w:tc>
          <w:tcPr>
            <w:tcW w:w="234" w:type="pct"/>
            <w:gridSpan w:val="2"/>
            <w:tcBorders>
              <w:top w:val="single" w:sz="4" w:space="0" w:color="000000"/>
              <w:left w:val="single" w:sz="4" w:space="0" w:color="000000"/>
              <w:bottom w:val="single" w:sz="4" w:space="0" w:color="000000"/>
            </w:tcBorders>
            <w:noWrap/>
            <w:vAlign w:val="center"/>
          </w:tcPr>
          <w:p w:rsidR="002E0378" w:rsidRDefault="005C380A">
            <w:pPr>
              <w:rPr>
                <w:rFonts w:ascii="Times New Roman" w:hAnsi="Times New Roman"/>
                <w:kern w:val="1"/>
              </w:rPr>
            </w:pPr>
            <w:r>
              <w:rPr>
                <w:rFonts w:ascii="Times New Roman" w:hAnsi="Times New Roman"/>
                <w:kern w:val="1"/>
              </w:rPr>
              <w:t>达标</w:t>
            </w:r>
          </w:p>
        </w:tc>
      </w:tr>
    </w:tbl>
    <w:p w:rsidR="002E0378" w:rsidRDefault="002E0378">
      <w:pPr>
        <w:pStyle w:val="5"/>
        <w:numPr>
          <w:ilvl w:val="0"/>
          <w:numId w:val="0"/>
        </w:numPr>
      </w:pPr>
    </w:p>
    <w:p w:rsidR="002E0378" w:rsidRDefault="005C380A">
      <w:pPr>
        <w:pStyle w:val="a4"/>
        <w:ind w:firstLine="480"/>
      </w:pPr>
      <w:r>
        <w:rPr>
          <w:rFonts w:hint="eastAsia"/>
          <w:lang w:val="en-US"/>
        </w:rPr>
        <w:t>2</w:t>
      </w:r>
      <w:r>
        <w:rPr>
          <w:rFonts w:hint="eastAsia"/>
          <w:lang w:val="en-US"/>
        </w:rPr>
        <w:t>、</w:t>
      </w:r>
      <w:r>
        <w:rPr>
          <w:rFonts w:hint="eastAsia"/>
        </w:rPr>
        <w:t>结果分析与评价</w:t>
      </w:r>
    </w:p>
    <w:p w:rsidR="002E0378" w:rsidRDefault="005C380A">
      <w:pPr>
        <w:pStyle w:val="a4"/>
        <w:ind w:firstLine="480"/>
      </w:pPr>
      <w:r>
        <w:rPr>
          <w:rFonts w:hint="eastAsia"/>
        </w:rPr>
        <w:t>通过上表可以发现，</w:t>
      </w:r>
      <w:r>
        <w:rPr>
          <w:rFonts w:hint="eastAsia"/>
          <w:lang w:val="en-US"/>
        </w:rPr>
        <w:t>各采样点位的土壤常规监测因子及特征因子监测值均低于《土壤环境质量建设用地土壤污染风险管控标准（试行）》（</w:t>
      </w:r>
      <w:r>
        <w:rPr>
          <w:rFonts w:hint="eastAsia"/>
          <w:lang w:val="en-US"/>
        </w:rPr>
        <w:t>GB36600-2018</w:t>
      </w:r>
      <w:r>
        <w:rPr>
          <w:rFonts w:hint="eastAsia"/>
          <w:lang w:val="en-US"/>
        </w:rPr>
        <w:t>）中第二类用地风险筛选值的标准，土壤环境质量较好。</w:t>
      </w:r>
    </w:p>
    <w:p w:rsidR="002E0378" w:rsidRDefault="005C380A">
      <w:pPr>
        <w:pStyle w:val="3"/>
        <w:rPr>
          <w:rFonts w:cs="宋体"/>
          <w:szCs w:val="28"/>
        </w:rPr>
      </w:pPr>
      <w:bookmarkStart w:id="81" w:name="_Toc22195"/>
      <w:r>
        <w:t>5.5.2</w:t>
      </w:r>
      <w:r>
        <w:rPr>
          <w:rFonts w:hint="eastAsia"/>
        </w:rPr>
        <w:t xml:space="preserve"> </w:t>
      </w:r>
      <w:r>
        <w:t>地下水</w:t>
      </w:r>
      <w:bookmarkEnd w:id="81"/>
    </w:p>
    <w:p w:rsidR="002E0378" w:rsidRDefault="005C380A">
      <w:pPr>
        <w:pStyle w:val="a4"/>
        <w:ind w:firstLine="480"/>
      </w:pPr>
      <w:r>
        <w:rPr>
          <w:rFonts w:hint="eastAsia"/>
          <w:lang w:val="en-US"/>
        </w:rPr>
        <w:t>1</w:t>
      </w:r>
      <w:r>
        <w:rPr>
          <w:rFonts w:hint="eastAsia"/>
          <w:lang w:val="en-US"/>
        </w:rPr>
        <w:t>、地下水检测结果</w:t>
      </w:r>
    </w:p>
    <w:p w:rsidR="002E0378" w:rsidRDefault="005C380A">
      <w:pPr>
        <w:pStyle w:val="a4"/>
        <w:ind w:firstLine="480"/>
      </w:pPr>
      <w:r>
        <w:rPr>
          <w:rFonts w:hint="eastAsia"/>
        </w:rPr>
        <w:t>地下水检测结果见下表。</w:t>
      </w:r>
    </w:p>
    <w:p w:rsidR="002E0378" w:rsidRDefault="005C380A">
      <w:pPr>
        <w:pStyle w:val="a4"/>
        <w:ind w:firstLineChars="0" w:firstLine="0"/>
        <w:jc w:val="center"/>
        <w:rPr>
          <w:b/>
          <w:bCs/>
        </w:rPr>
      </w:pPr>
      <w:r>
        <w:rPr>
          <w:rFonts w:hint="eastAsia"/>
          <w:b/>
          <w:bCs/>
        </w:rPr>
        <w:t>表</w:t>
      </w:r>
      <w:r>
        <w:rPr>
          <w:rFonts w:hint="eastAsia"/>
          <w:b/>
          <w:bCs/>
        </w:rPr>
        <w:t>5-</w:t>
      </w:r>
      <w:r>
        <w:rPr>
          <w:rFonts w:hint="eastAsia"/>
          <w:b/>
          <w:bCs/>
          <w:lang w:val="en-US"/>
        </w:rPr>
        <w:t>6</w:t>
      </w:r>
      <w:r>
        <w:rPr>
          <w:rFonts w:hint="eastAsia"/>
          <w:b/>
          <w:bCs/>
        </w:rPr>
        <w:t xml:space="preserve">  </w:t>
      </w:r>
      <w:r>
        <w:rPr>
          <w:rFonts w:hint="eastAsia"/>
          <w:b/>
          <w:bCs/>
        </w:rPr>
        <w:t>地下水检测结果统计表</w:t>
      </w:r>
    </w:p>
    <w:tbl>
      <w:tblPr>
        <w:tblStyle w:val="aa"/>
        <w:tblW w:w="4996" w:type="pct"/>
        <w:jc w:val="center"/>
        <w:tblLook w:val="04A0" w:firstRow="1" w:lastRow="0" w:firstColumn="1" w:lastColumn="0" w:noHBand="0" w:noVBand="1"/>
      </w:tblPr>
      <w:tblGrid>
        <w:gridCol w:w="2451"/>
        <w:gridCol w:w="2091"/>
        <w:gridCol w:w="1964"/>
        <w:gridCol w:w="2055"/>
        <w:gridCol w:w="2123"/>
        <w:gridCol w:w="15"/>
        <w:gridCol w:w="1904"/>
        <w:gridCol w:w="14"/>
        <w:gridCol w:w="1532"/>
        <w:gridCol w:w="14"/>
      </w:tblGrid>
      <w:tr w:rsidR="002E0378">
        <w:trPr>
          <w:jc w:val="center"/>
        </w:trPr>
        <w:tc>
          <w:tcPr>
            <w:tcW w:w="865" w:type="pct"/>
            <w:vMerge w:val="restart"/>
            <w:tcBorders>
              <w:tl2br w:val="nil"/>
              <w:tr2bl w:val="nil"/>
            </w:tcBorders>
            <w:noWrap/>
            <w:vAlign w:val="center"/>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检测项目</w:t>
            </w:r>
          </w:p>
        </w:tc>
        <w:tc>
          <w:tcPr>
            <w:tcW w:w="738" w:type="pct"/>
            <w:vMerge w:val="restart"/>
            <w:tcBorders>
              <w:tl2br w:val="nil"/>
              <w:tr2bl w:val="nil"/>
            </w:tcBorders>
            <w:noWrap/>
            <w:vAlign w:val="center"/>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单位</w:t>
            </w:r>
          </w:p>
        </w:tc>
        <w:tc>
          <w:tcPr>
            <w:tcW w:w="2172" w:type="pct"/>
            <w:gridSpan w:val="4"/>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监测点位</w:t>
            </w:r>
          </w:p>
        </w:tc>
        <w:tc>
          <w:tcPr>
            <w:tcW w:w="677" w:type="pct"/>
            <w:gridSpan w:val="2"/>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rFonts w:hint="eastAsia"/>
                <w:sz w:val="21"/>
                <w:szCs w:val="21"/>
              </w:rPr>
              <w:t>标准值</w:t>
            </w:r>
          </w:p>
        </w:tc>
        <w:tc>
          <w:tcPr>
            <w:tcW w:w="546" w:type="pct"/>
            <w:gridSpan w:val="2"/>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rFonts w:hint="eastAsia"/>
                <w:sz w:val="21"/>
                <w:szCs w:val="21"/>
              </w:rPr>
              <w:t>评价结果</w:t>
            </w:r>
          </w:p>
        </w:tc>
      </w:tr>
      <w:tr w:rsidR="002E0378">
        <w:trPr>
          <w:gridAfter w:val="1"/>
          <w:wAfter w:w="4" w:type="pct"/>
          <w:trHeight w:val="203"/>
          <w:jc w:val="center"/>
        </w:trPr>
        <w:tc>
          <w:tcPr>
            <w:tcW w:w="865" w:type="pct"/>
            <w:vMerge/>
            <w:tcBorders>
              <w:tl2br w:val="nil"/>
              <w:tr2bl w:val="nil"/>
            </w:tcBorders>
            <w:noWrap/>
          </w:tcPr>
          <w:p w:rsidR="002E0378" w:rsidRDefault="002E0378">
            <w:pPr>
              <w:pStyle w:val="WPSOffice1"/>
              <w:widowControl/>
              <w:tabs>
                <w:tab w:val="right" w:leader="dot" w:pos="8306"/>
              </w:tabs>
              <w:spacing w:line="280" w:lineRule="exact"/>
              <w:jc w:val="left"/>
              <w:rPr>
                <w:rFonts w:ascii="宋体" w:hAnsi="宋体" w:cs="宋体"/>
                <w:b/>
                <w:bCs/>
                <w:sz w:val="21"/>
                <w:szCs w:val="21"/>
              </w:rPr>
            </w:pPr>
          </w:p>
        </w:tc>
        <w:tc>
          <w:tcPr>
            <w:tcW w:w="738" w:type="pct"/>
            <w:vMerge/>
            <w:tcBorders>
              <w:tl2br w:val="nil"/>
              <w:tr2bl w:val="nil"/>
            </w:tcBorders>
            <w:noWrap/>
          </w:tcPr>
          <w:p w:rsidR="002E0378" w:rsidRDefault="002E0378">
            <w:pPr>
              <w:pStyle w:val="WPSOffice1"/>
              <w:widowControl/>
              <w:tabs>
                <w:tab w:val="right" w:leader="dot" w:pos="8306"/>
              </w:tabs>
              <w:spacing w:line="280" w:lineRule="exact"/>
              <w:jc w:val="left"/>
              <w:rPr>
                <w:rFonts w:ascii="宋体" w:hAnsi="宋体" w:cs="宋体"/>
                <w:b/>
                <w:bCs/>
                <w:sz w:val="21"/>
                <w:szCs w:val="21"/>
              </w:rPr>
            </w:pPr>
          </w:p>
        </w:tc>
        <w:tc>
          <w:tcPr>
            <w:tcW w:w="693" w:type="pct"/>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WS1</w:t>
            </w:r>
          </w:p>
        </w:tc>
        <w:tc>
          <w:tcPr>
            <w:tcW w:w="725" w:type="pct"/>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A/BS1</w:t>
            </w:r>
          </w:p>
        </w:tc>
        <w:tc>
          <w:tcPr>
            <w:tcW w:w="749" w:type="pct"/>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CS1</w:t>
            </w:r>
          </w:p>
        </w:tc>
        <w:tc>
          <w:tcPr>
            <w:tcW w:w="677" w:type="pct"/>
            <w:gridSpan w:val="2"/>
            <w:tcBorders>
              <w:tl2br w:val="nil"/>
              <w:tr2bl w:val="nil"/>
            </w:tcBorders>
            <w:noWrap/>
          </w:tcPr>
          <w:p w:rsidR="002E0378" w:rsidRDefault="002E0378">
            <w:pPr>
              <w:pStyle w:val="WPSOffice1"/>
              <w:widowControl/>
              <w:tabs>
                <w:tab w:val="right" w:leader="dot" w:pos="8306"/>
              </w:tabs>
              <w:spacing w:line="280" w:lineRule="exact"/>
              <w:jc w:val="left"/>
              <w:rPr>
                <w:rFonts w:ascii="宋体" w:hAnsi="宋体" w:cs="宋体"/>
                <w:b/>
                <w:bCs/>
                <w:sz w:val="21"/>
                <w:szCs w:val="21"/>
              </w:rPr>
            </w:pPr>
          </w:p>
        </w:tc>
        <w:tc>
          <w:tcPr>
            <w:tcW w:w="546" w:type="pct"/>
            <w:gridSpan w:val="2"/>
            <w:tcBorders>
              <w:tl2br w:val="nil"/>
              <w:tr2bl w:val="nil"/>
            </w:tcBorders>
            <w:noWrap/>
          </w:tcPr>
          <w:p w:rsidR="002E0378" w:rsidRDefault="002E0378">
            <w:pPr>
              <w:pStyle w:val="WPSOffice1"/>
              <w:widowControl/>
              <w:tabs>
                <w:tab w:val="right" w:leader="dot" w:pos="8306"/>
              </w:tabs>
              <w:spacing w:line="280" w:lineRule="exact"/>
              <w:jc w:val="left"/>
              <w:rPr>
                <w:rFonts w:ascii="宋体" w:hAnsi="宋体" w:cs="宋体"/>
                <w:b/>
                <w:bCs/>
                <w:sz w:val="21"/>
                <w:szCs w:val="21"/>
              </w:rPr>
            </w:pP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浑浊度</w:t>
            </w:r>
          </w:p>
        </w:tc>
        <w:tc>
          <w:tcPr>
            <w:tcW w:w="738"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NTU</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2.8</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2.4</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2.5</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3</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pH</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无量纲</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7.60</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8.03</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7.93</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6.5-8.5</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总硬度</w:t>
            </w:r>
          </w:p>
        </w:tc>
        <w:tc>
          <w:tcPr>
            <w:tcW w:w="738"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168</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69</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89</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450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ind w:leftChars="-40" w:rightChars="-46" w:right="-97" w:hangingChars="40" w:hanging="84"/>
              <w:rPr>
                <w:rFonts w:ascii="宋体" w:eastAsiaTheme="minorEastAsia" w:hAnsi="宋体" w:cs="宋体"/>
                <w:b/>
                <w:bCs/>
                <w:u w:color="FFFFFF"/>
              </w:rPr>
            </w:pPr>
            <w:r>
              <w:rPr>
                <w:rFonts w:hint="eastAsia"/>
              </w:rPr>
              <w:lastRenderedPageBreak/>
              <w:t>溶解性总固体</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28.9</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101.6</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86.7</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1000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耗氧量（</w:t>
            </w:r>
            <w:r>
              <w:rPr>
                <w:rFonts w:hint="eastAsia"/>
              </w:rPr>
              <w:t>COD</w:t>
            </w:r>
            <w:r>
              <w:rPr>
                <w:rFonts w:hint="eastAsia"/>
                <w:vertAlign w:val="subscript"/>
              </w:rPr>
              <w:t>Mn</w:t>
            </w:r>
            <w:r>
              <w:rPr>
                <w:rFonts w:hint="eastAsia"/>
              </w:rPr>
              <w:t>）</w:t>
            </w:r>
          </w:p>
        </w:tc>
        <w:tc>
          <w:tcPr>
            <w:tcW w:w="738"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0.96</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1.06</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0.98</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3.0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氯化物</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8.44</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8.30</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7.52</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250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氨氮</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0.241</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0.402</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0.312</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0.5</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挥发酚</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0.0003L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0.0003L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0.0003L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0.002</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硝酸盐氮</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2.96</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0.288</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0.244</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20.0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亚硝酸盐氮</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氟化物</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0.068</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0.049</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0.058</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铁</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0.085</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0.122</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0.107</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0.3</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锰</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0.026</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0.036</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0.030</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0.1</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铜</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0.06</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0.05L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锌</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0.012L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0.012L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0.012L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镉</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0.5L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0.5L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0.005</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trHeight w:val="287"/>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铅</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2.5L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2.5L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0.01</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Theme="minorHAnsi" w:eastAsiaTheme="minorEastAsia" w:hAnsiTheme="minorHAnsi" w:cstheme="minorBidi"/>
                <w:u w:color="FFFFFF"/>
              </w:rPr>
            </w:pPr>
            <w:r>
              <w:rPr>
                <w:rFonts w:hint="eastAsia"/>
              </w:rPr>
              <w:t>镍</w:t>
            </w:r>
          </w:p>
        </w:tc>
        <w:tc>
          <w:tcPr>
            <w:tcW w:w="738" w:type="pct"/>
            <w:tcBorders>
              <w:tl2br w:val="nil"/>
              <w:tr2bl w:val="nil"/>
            </w:tcBorders>
            <w:noWrap/>
            <w:vAlign w:val="center"/>
          </w:tcPr>
          <w:p w:rsidR="002E0378" w:rsidRDefault="005C380A">
            <w:pPr>
              <w:spacing w:line="280" w:lineRule="exact"/>
              <w:rPr>
                <w:rFonts w:asciiTheme="minorHAnsi" w:eastAsiaTheme="minorEastAsia" w:hAnsiTheme="minorHAnsi" w:cstheme="minorBidi"/>
                <w:u w:color="FFFFFF"/>
              </w:rPr>
            </w:pPr>
            <w: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5L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5L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0.02</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汞</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0.1L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0.1L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0.1L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0.001</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砷</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1.0L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1.0L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1.0L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0.01</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t>铬（六价）</w:t>
            </w:r>
          </w:p>
        </w:tc>
        <w:tc>
          <w:tcPr>
            <w:tcW w:w="738" w:type="pct"/>
            <w:tcBorders>
              <w:tl2br w:val="nil"/>
              <w:tr2bl w:val="nil"/>
            </w:tcBorders>
            <w:noWrap/>
            <w:vAlign w:val="center"/>
          </w:tcPr>
          <w:p w:rsidR="002E0378" w:rsidRDefault="005C380A">
            <w:pPr>
              <w:spacing w:line="280" w:lineRule="exact"/>
              <w:rPr>
                <w:rFonts w:ascii="宋体" w:eastAsiaTheme="minorEastAsia" w:hAnsi="宋体" w:cs="宋体"/>
                <w:b/>
                <w:bCs/>
                <w:u w:color="FFFFFF"/>
              </w:rPr>
            </w:pPr>
            <w:r>
              <w:rPr>
                <w:rFonts w:hint="eastAsia"/>
              </w:rP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0.004L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0.004L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0.004L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0.05</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Theme="minorHAnsi" w:eastAsiaTheme="minorEastAsia" w:hAnsiTheme="minorHAnsi" w:cstheme="minorBidi"/>
                <w:u w:color="FFFFFF"/>
              </w:rPr>
            </w:pPr>
            <w:r>
              <w:rPr>
                <w:rFonts w:hint="eastAsia"/>
              </w:rPr>
              <w:t>石油类</w:t>
            </w:r>
          </w:p>
        </w:tc>
        <w:tc>
          <w:tcPr>
            <w:tcW w:w="738" w:type="pct"/>
            <w:tcBorders>
              <w:tl2br w:val="nil"/>
              <w:tr2bl w:val="nil"/>
            </w:tcBorders>
            <w:noWrap/>
            <w:vAlign w:val="center"/>
          </w:tcPr>
          <w:p w:rsidR="002E0378" w:rsidRDefault="005C380A">
            <w:pPr>
              <w:spacing w:line="280" w:lineRule="exact"/>
              <w:rPr>
                <w:rFonts w:asciiTheme="minorHAnsi" w:eastAsiaTheme="minorEastAsia" w:hAnsiTheme="minorHAnsi" w:cstheme="minorBidi"/>
                <w:u w:color="FFFFFF"/>
              </w:rPr>
            </w:pPr>
            <w:r>
              <w:t>mg/L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0.005L</w:t>
            </w:r>
          </w:p>
        </w:tc>
        <w:tc>
          <w:tcPr>
            <w:tcW w:w="1919" w:type="dxa"/>
            <w:gridSpan w:val="2"/>
            <w:tcBorders>
              <w:tl2br w:val="nil"/>
              <w:tr2bl w:val="nil"/>
            </w:tcBorders>
            <w:noWrap/>
            <w:vAlign w:val="center"/>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0.05</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2E0378">
        <w:trPr>
          <w:gridAfter w:val="1"/>
          <w:wAfter w:w="4" w:type="pct"/>
          <w:jc w:val="center"/>
        </w:trPr>
        <w:tc>
          <w:tcPr>
            <w:tcW w:w="865"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总大肠菌群</w:t>
            </w:r>
          </w:p>
        </w:tc>
        <w:tc>
          <w:tcPr>
            <w:tcW w:w="738" w:type="pct"/>
            <w:tcBorders>
              <w:tl2br w:val="nil"/>
              <w:tr2bl w:val="nil"/>
            </w:tcBorders>
            <w:noWrap/>
            <w:vAlign w:val="center"/>
          </w:tcPr>
          <w:p w:rsidR="002E0378" w:rsidRDefault="005C380A">
            <w:pPr>
              <w:spacing w:line="280" w:lineRule="exact"/>
              <w:rPr>
                <w:rFonts w:ascii="宋体" w:hAnsi="宋体" w:cs="宋体"/>
                <w:b/>
                <w:bCs/>
                <w:u w:color="FFFFFF"/>
              </w:rPr>
            </w:pPr>
            <w:r>
              <w:rPr>
                <w:rFonts w:hint="eastAsia"/>
              </w:rPr>
              <w:t>MPN/100ml</w:t>
            </w:r>
          </w:p>
        </w:tc>
        <w:tc>
          <w:tcPr>
            <w:tcW w:w="1964"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2L</w:t>
            </w:r>
          </w:p>
        </w:tc>
        <w:tc>
          <w:tcPr>
            <w:tcW w:w="2055"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2L</w:t>
            </w:r>
          </w:p>
        </w:tc>
        <w:tc>
          <w:tcPr>
            <w:tcW w:w="2123" w:type="dxa"/>
            <w:tcBorders>
              <w:tl2br w:val="nil"/>
              <w:tr2bl w:val="nil"/>
            </w:tcBorders>
            <w:noWrap/>
            <w:vAlign w:val="center"/>
          </w:tcPr>
          <w:p w:rsidR="002E0378" w:rsidRDefault="005C380A">
            <w:pPr>
              <w:pStyle w:val="WPSOffice1"/>
              <w:widowControl/>
              <w:tabs>
                <w:tab w:val="right" w:leader="dot" w:pos="8306"/>
              </w:tabs>
              <w:spacing w:line="280" w:lineRule="exact"/>
              <w:jc w:val="center"/>
              <w:rPr>
                <w:sz w:val="21"/>
                <w:szCs w:val="21"/>
              </w:rPr>
            </w:pPr>
            <w:r>
              <w:rPr>
                <w:sz w:val="21"/>
                <w:szCs w:val="21"/>
              </w:rPr>
              <w:t>2L</w:t>
            </w:r>
          </w:p>
        </w:tc>
        <w:tc>
          <w:tcPr>
            <w:tcW w:w="1919" w:type="dxa"/>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3.0</w:t>
            </w:r>
          </w:p>
        </w:tc>
        <w:tc>
          <w:tcPr>
            <w:tcW w:w="546" w:type="pct"/>
            <w:gridSpan w:val="2"/>
            <w:tcBorders>
              <w:tl2br w:val="nil"/>
              <w:tr2bl w:val="nil"/>
            </w:tcBorders>
            <w:noWrap/>
          </w:tcPr>
          <w:p w:rsidR="002E0378" w:rsidRDefault="005C380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bl>
    <w:p w:rsidR="002E0378" w:rsidRDefault="005C380A">
      <w:pPr>
        <w:pStyle w:val="WPSOffice1"/>
        <w:tabs>
          <w:tab w:val="right" w:leader="dot" w:pos="8306"/>
        </w:tabs>
        <w:spacing w:afterLines="20" w:after="62" w:line="300" w:lineRule="exact"/>
        <w:ind w:firstLineChars="100" w:firstLine="180"/>
        <w:rPr>
          <w:rFonts w:ascii="宋体" w:hAnsi="宋体" w:cs="宋体"/>
          <w:sz w:val="18"/>
          <w:szCs w:val="18"/>
        </w:rPr>
      </w:pPr>
      <w:r>
        <w:rPr>
          <w:rFonts w:ascii="宋体" w:hAnsi="宋体" w:cs="宋体" w:hint="eastAsia"/>
          <w:sz w:val="18"/>
          <w:szCs w:val="18"/>
        </w:rPr>
        <w:t>备注：①“L”表示低于检出限；</w:t>
      </w:r>
    </w:p>
    <w:p w:rsidR="002E0378" w:rsidRDefault="005C380A">
      <w:pPr>
        <w:pStyle w:val="WPSOffice1"/>
        <w:tabs>
          <w:tab w:val="right" w:leader="dot" w:pos="8306"/>
        </w:tabs>
        <w:spacing w:afterLines="20" w:after="62" w:line="300" w:lineRule="exact"/>
        <w:ind w:firstLineChars="400" w:firstLine="720"/>
        <w:rPr>
          <w:rFonts w:ascii="宋体" w:hAnsi="宋体" w:cs="宋体"/>
          <w:sz w:val="18"/>
          <w:szCs w:val="18"/>
        </w:rPr>
      </w:pPr>
      <w:r>
        <w:rPr>
          <w:rFonts w:ascii="宋体" w:hAnsi="宋体" w:cs="宋体" w:hint="eastAsia"/>
          <w:sz w:val="18"/>
          <w:szCs w:val="18"/>
        </w:rPr>
        <w:t>②</w:t>
      </w:r>
      <w:r>
        <w:rPr>
          <w:rFonts w:hint="eastAsia"/>
          <w:sz w:val="18"/>
          <w:szCs w:val="18"/>
        </w:rPr>
        <w:t>石油类参照执行</w:t>
      </w:r>
      <w:r>
        <w:rPr>
          <w:sz w:val="18"/>
          <w:szCs w:val="18"/>
        </w:rPr>
        <w:t>《地表水环境质量标准》</w:t>
      </w:r>
      <w:r>
        <w:rPr>
          <w:rFonts w:hint="eastAsia"/>
          <w:sz w:val="18"/>
          <w:szCs w:val="18"/>
        </w:rPr>
        <w:t>（</w:t>
      </w:r>
      <w:r>
        <w:rPr>
          <w:sz w:val="18"/>
          <w:szCs w:val="18"/>
        </w:rPr>
        <w:t>GB3838-2002</w:t>
      </w:r>
      <w:r>
        <w:rPr>
          <w:rFonts w:hint="eastAsia"/>
          <w:sz w:val="18"/>
          <w:szCs w:val="18"/>
        </w:rPr>
        <w:t>）。</w:t>
      </w:r>
    </w:p>
    <w:p w:rsidR="002E0378" w:rsidRDefault="005C380A">
      <w:pPr>
        <w:pStyle w:val="a4"/>
        <w:numPr>
          <w:ilvl w:val="0"/>
          <w:numId w:val="3"/>
        </w:numPr>
        <w:ind w:firstLine="480"/>
      </w:pPr>
      <w:r>
        <w:rPr>
          <w:rFonts w:hint="eastAsia"/>
        </w:rPr>
        <w:t>地下水结果分析与评价</w:t>
      </w:r>
    </w:p>
    <w:p w:rsidR="002E0378" w:rsidRDefault="005C380A">
      <w:pPr>
        <w:pStyle w:val="af"/>
        <w:spacing w:line="480" w:lineRule="exact"/>
        <w:jc w:val="left"/>
        <w:rPr>
          <w:rFonts w:eastAsiaTheme="minorEastAsia"/>
          <w:kern w:val="2"/>
          <w:szCs w:val="22"/>
        </w:rPr>
      </w:pPr>
      <w:r>
        <w:rPr>
          <w:rFonts w:hint="eastAsia"/>
        </w:rPr>
        <w:t>根据监测结果可知，各监测点位的监测指标均满足《地下水质量标准》（</w:t>
      </w:r>
      <w:r>
        <w:rPr>
          <w:rFonts w:hint="eastAsia"/>
        </w:rPr>
        <w:t>GB/T14848-2017</w:t>
      </w:r>
      <w:r>
        <w:rPr>
          <w:rFonts w:hint="eastAsia"/>
        </w:rPr>
        <w:t>）中Ⅲ类标准，其中石油类满足《地表水环境质量标准》（</w:t>
      </w:r>
      <w:r>
        <w:rPr>
          <w:rFonts w:hint="eastAsia"/>
        </w:rPr>
        <w:t>GB3838-2002</w:t>
      </w:r>
      <w:r>
        <w:rPr>
          <w:rFonts w:hint="eastAsia"/>
        </w:rPr>
        <w:t>），地下水环境质量较好。</w:t>
      </w:r>
    </w:p>
    <w:p w:rsidR="002E0378" w:rsidRDefault="002E0378">
      <w:pPr>
        <w:pStyle w:val="a4"/>
        <w:ind w:firstLineChars="0" w:firstLine="0"/>
        <w:rPr>
          <w:lang w:val="en-US"/>
        </w:rPr>
        <w:sectPr w:rsidR="002E0378">
          <w:pgSz w:w="16838" w:h="11906" w:orient="landscape"/>
          <w:pgMar w:top="1800" w:right="1440" w:bottom="1800" w:left="1440" w:header="851" w:footer="992" w:gutter="0"/>
          <w:cols w:space="720"/>
          <w:docGrid w:type="lines" w:linePitch="312"/>
        </w:sectPr>
      </w:pPr>
    </w:p>
    <w:p w:rsidR="002E0378" w:rsidRDefault="005C380A">
      <w:pPr>
        <w:pStyle w:val="1"/>
        <w:rPr>
          <w:rFonts w:ascii="宋体" w:hAnsi="宋体" w:cs="宋体"/>
        </w:rPr>
      </w:pPr>
      <w:bookmarkStart w:id="82" w:name="_Toc12680"/>
      <w:bookmarkStart w:id="83" w:name="_Toc16340"/>
      <w:r>
        <w:rPr>
          <w:rFonts w:ascii="宋体" w:hAnsi="宋体" w:cs="宋体" w:hint="eastAsia"/>
        </w:rPr>
        <w:lastRenderedPageBreak/>
        <w:t>6 结论和建议</w:t>
      </w:r>
      <w:bookmarkEnd w:id="82"/>
      <w:bookmarkEnd w:id="83"/>
    </w:p>
    <w:p w:rsidR="002E0378" w:rsidRDefault="005C380A">
      <w:pPr>
        <w:pStyle w:val="2"/>
      </w:pPr>
      <w:bookmarkStart w:id="84" w:name="_Toc30845"/>
      <w:bookmarkStart w:id="85" w:name="_Toc15925"/>
      <w:r>
        <w:rPr>
          <w:rFonts w:hint="eastAsia"/>
        </w:rPr>
        <w:t xml:space="preserve">6.1 </w:t>
      </w:r>
      <w:r>
        <w:rPr>
          <w:rFonts w:hint="eastAsia"/>
        </w:rPr>
        <w:t>隐患排查结论</w:t>
      </w:r>
      <w:bookmarkEnd w:id="84"/>
      <w:bookmarkEnd w:id="85"/>
    </w:p>
    <w:p w:rsidR="002E0378" w:rsidRDefault="005C380A">
      <w:pPr>
        <w:pStyle w:val="a4"/>
        <w:ind w:firstLine="480"/>
        <w:jc w:val="both"/>
        <w:rPr>
          <w:rFonts w:ascii="宋体" w:hAnsi="宋体"/>
          <w:b/>
          <w:bCs/>
          <w:szCs w:val="24"/>
        </w:rPr>
      </w:pPr>
      <w:r>
        <w:rPr>
          <w:rFonts w:hint="eastAsia"/>
        </w:rPr>
        <w:t>本次土壤、地下水污染隐患排查工作，在严格按照《重点监管单位土壤污染隐患排查指南（试行）》（中华人民共和国生态环境部公告</w:t>
      </w:r>
      <w:r>
        <w:rPr>
          <w:rFonts w:hint="eastAsia"/>
        </w:rPr>
        <w:t>2021</w:t>
      </w:r>
      <w:r>
        <w:rPr>
          <w:rFonts w:hint="eastAsia"/>
        </w:rPr>
        <w:t>年第</w:t>
      </w:r>
      <w:r>
        <w:rPr>
          <w:rFonts w:hint="eastAsia"/>
        </w:rPr>
        <w:t>1</w:t>
      </w:r>
      <w:r>
        <w:rPr>
          <w:rFonts w:hint="eastAsia"/>
        </w:rPr>
        <w:t>号）的基础上，结合本单位布置及运营实际情况，对指南中明确的重点排查对象进行了细致排查。土壤污染防治措施上，公司现行管理较为规范，防止土壤污染的设施也较完备，现场未发现明显的土壤污染隐患，人员管理和生产管理导致污染的可能性较低。经过排查，各个罐区防渗层、围堰完整、无裂缝、无破损。管线无泄漏情况。填埋区边缘有部分防渗膜破损，需立即进行整改。</w:t>
      </w:r>
    </w:p>
    <w:p w:rsidR="002E0378" w:rsidRDefault="005C380A">
      <w:pPr>
        <w:pStyle w:val="2"/>
        <w:rPr>
          <w:rFonts w:ascii="宋体" w:hAnsi="宋体" w:cs="宋体"/>
          <w:szCs w:val="28"/>
        </w:rPr>
      </w:pPr>
      <w:bookmarkStart w:id="86" w:name="_Toc673"/>
      <w:bookmarkStart w:id="87" w:name="_Toc21385"/>
      <w:r>
        <w:rPr>
          <w:rFonts w:hint="eastAsia"/>
        </w:rPr>
        <w:t xml:space="preserve">6.2 </w:t>
      </w:r>
      <w:r>
        <w:rPr>
          <w:rFonts w:hint="eastAsia"/>
        </w:rPr>
        <w:t>对土壤和地下水自行监测工作建议</w:t>
      </w:r>
      <w:bookmarkEnd w:id="86"/>
      <w:bookmarkEnd w:id="87"/>
    </w:p>
    <w:p w:rsidR="002E0378" w:rsidRDefault="005C380A">
      <w:pPr>
        <w:pStyle w:val="a4"/>
        <w:ind w:firstLine="480"/>
      </w:pPr>
      <w:r>
        <w:rPr>
          <w:rFonts w:hint="eastAsia"/>
          <w:lang w:val="en-US"/>
        </w:rPr>
        <w:t>1</w:t>
      </w:r>
      <w:r>
        <w:rPr>
          <w:rFonts w:hint="eastAsia"/>
          <w:lang w:val="en-US"/>
        </w:rPr>
        <w:t>、</w:t>
      </w:r>
      <w:r>
        <w:rPr>
          <w:rFonts w:hint="eastAsia"/>
        </w:rPr>
        <w:t>建议企业编制自行监测方案后，根据方案开展自行监测工作。</w:t>
      </w:r>
    </w:p>
    <w:p w:rsidR="002E0378" w:rsidRDefault="005C380A">
      <w:pPr>
        <w:pStyle w:val="a4"/>
        <w:ind w:firstLine="480"/>
        <w:rPr>
          <w:rFonts w:ascii="宋体" w:hAnsi="宋体"/>
        </w:rPr>
      </w:pPr>
      <w:r>
        <w:rPr>
          <w:rFonts w:hint="eastAsia"/>
          <w:lang w:val="en-US"/>
        </w:rPr>
        <w:t>2</w:t>
      </w:r>
      <w:r>
        <w:rPr>
          <w:rFonts w:hint="eastAsia"/>
          <w:lang w:val="en-US"/>
        </w:rPr>
        <w:t>、</w:t>
      </w:r>
      <w:r>
        <w:rPr>
          <w:rFonts w:hint="eastAsia"/>
        </w:rPr>
        <w:t>建议企业加强管理，定期检查生产及原料存放区等潜在污染区域，对各类池体、管道、输送泵、废水系统、填埋区等进行严格的防渗漏检查和防渗效果检查，避免污染物质泄漏进入外部环境，影响区域内的土壤和地下水环境。企业按照土壤污染隐患排查制度，定期进行自查。</w:t>
      </w:r>
    </w:p>
    <w:p w:rsidR="002E0378" w:rsidRDefault="002E0378">
      <w:pPr>
        <w:pStyle w:val="1"/>
        <w:rPr>
          <w:rFonts w:ascii="宋体" w:hAnsi="宋体" w:cs="宋体"/>
        </w:rPr>
        <w:sectPr w:rsidR="002E0378">
          <w:pgSz w:w="11906" w:h="16838"/>
          <w:pgMar w:top="1440" w:right="1800" w:bottom="1440" w:left="1800" w:header="851" w:footer="992" w:gutter="0"/>
          <w:cols w:space="720"/>
          <w:docGrid w:type="lines" w:linePitch="312"/>
        </w:sectPr>
      </w:pPr>
    </w:p>
    <w:p w:rsidR="002E0378" w:rsidRDefault="005C380A">
      <w:pPr>
        <w:pStyle w:val="1"/>
        <w:rPr>
          <w:rFonts w:ascii="宋体" w:hAnsi="宋体" w:cs="宋体"/>
        </w:rPr>
      </w:pPr>
      <w:bookmarkStart w:id="88" w:name="_Toc8224"/>
      <w:bookmarkStart w:id="89" w:name="_Toc20359"/>
      <w:r>
        <w:lastRenderedPageBreak/>
        <w:t>7</w:t>
      </w:r>
      <w:r>
        <w:rPr>
          <w:rFonts w:ascii="宋体" w:hAnsi="宋体" w:cs="宋体" w:hint="eastAsia"/>
        </w:rPr>
        <w:t xml:space="preserve"> 附件</w:t>
      </w:r>
      <w:bookmarkEnd w:id="88"/>
      <w:bookmarkEnd w:id="89"/>
    </w:p>
    <w:p w:rsidR="002E0378" w:rsidRDefault="005C380A">
      <w:pPr>
        <w:pStyle w:val="2"/>
        <w:rPr>
          <w:rFonts w:ascii="宋体" w:hAnsi="宋体" w:cs="宋体"/>
        </w:rPr>
      </w:pPr>
      <w:bookmarkStart w:id="90" w:name="_Toc18703"/>
      <w:r>
        <w:rPr>
          <w:rFonts w:hint="eastAsia"/>
        </w:rPr>
        <w:t>附件</w:t>
      </w:r>
      <w:r>
        <w:rPr>
          <w:rFonts w:hint="eastAsia"/>
        </w:rPr>
        <w:t xml:space="preserve">1 </w:t>
      </w:r>
      <w:r>
        <w:rPr>
          <w:rFonts w:hint="eastAsia"/>
        </w:rPr>
        <w:t>厂区平面图</w:t>
      </w:r>
      <w:bookmarkEnd w:id="90"/>
    </w:p>
    <w:p w:rsidR="002E0378" w:rsidRDefault="002E0378">
      <w:pPr>
        <w:ind w:firstLine="480"/>
        <w:rPr>
          <w:rFonts w:ascii="宋体" w:hAnsi="宋体" w:cs="宋体"/>
        </w:rPr>
      </w:pPr>
    </w:p>
    <w:p w:rsidR="002E0378" w:rsidRDefault="002E0378">
      <w:pPr>
        <w:ind w:firstLine="480"/>
        <w:rPr>
          <w:rFonts w:ascii="宋体" w:hAnsi="宋体" w:cs="宋体"/>
        </w:rPr>
      </w:pPr>
    </w:p>
    <w:p w:rsidR="002E0378" w:rsidRDefault="005C380A">
      <w:pPr>
        <w:ind w:firstLine="480"/>
        <w:rPr>
          <w:rFonts w:ascii="宋体" w:hAnsi="宋体" w:cs="宋体"/>
        </w:rPr>
      </w:pPr>
      <w:r>
        <w:rPr>
          <w:noProof/>
        </w:rPr>
        <w:drawing>
          <wp:inline distT="0" distB="0" distL="114300" distR="114300">
            <wp:extent cx="5269865" cy="4879340"/>
            <wp:effectExtent l="0" t="0" r="6985"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7"/>
                    <a:stretch>
                      <a:fillRect/>
                    </a:stretch>
                  </pic:blipFill>
                  <pic:spPr>
                    <a:xfrm>
                      <a:off x="0" y="0"/>
                      <a:ext cx="5269865" cy="4879340"/>
                    </a:xfrm>
                    <a:prstGeom prst="rect">
                      <a:avLst/>
                    </a:prstGeom>
                    <a:noFill/>
                    <a:ln>
                      <a:noFill/>
                    </a:ln>
                  </pic:spPr>
                </pic:pic>
              </a:graphicData>
            </a:graphic>
          </wp:inline>
        </w:drawing>
      </w:r>
    </w:p>
    <w:p w:rsidR="002E0378" w:rsidRDefault="002E0378">
      <w:pPr>
        <w:ind w:firstLine="480"/>
        <w:rPr>
          <w:rFonts w:ascii="宋体" w:hAnsi="宋体" w:cs="宋体"/>
        </w:rPr>
      </w:pPr>
    </w:p>
    <w:p w:rsidR="002E0378" w:rsidRDefault="002E0378">
      <w:pPr>
        <w:ind w:firstLine="480"/>
        <w:rPr>
          <w:rFonts w:ascii="宋体" w:hAnsi="宋体" w:cs="宋体"/>
        </w:rPr>
      </w:pPr>
    </w:p>
    <w:p w:rsidR="002E0378" w:rsidRDefault="002E0378">
      <w:pPr>
        <w:ind w:firstLine="480"/>
        <w:rPr>
          <w:rFonts w:ascii="宋体" w:hAnsi="宋体" w:cs="宋体"/>
        </w:rPr>
        <w:sectPr w:rsidR="002E0378">
          <w:pgSz w:w="11906" w:h="16838"/>
          <w:pgMar w:top="1440" w:right="1800" w:bottom="1440" w:left="1800" w:header="851" w:footer="992" w:gutter="0"/>
          <w:cols w:space="720"/>
          <w:docGrid w:type="lines" w:linePitch="312"/>
        </w:sectPr>
      </w:pPr>
    </w:p>
    <w:p w:rsidR="002E0378" w:rsidRDefault="005C380A">
      <w:pPr>
        <w:jc w:val="left"/>
        <w:rPr>
          <w:rFonts w:ascii="宋体" w:hAnsi="宋体" w:cs="宋体"/>
        </w:rPr>
      </w:pPr>
      <w:bookmarkStart w:id="91" w:name="_Toc27242"/>
      <w:r>
        <w:rPr>
          <w:rStyle w:val="1Char"/>
          <w:rFonts w:hint="eastAsia"/>
        </w:rPr>
        <w:lastRenderedPageBreak/>
        <w:t>附件</w:t>
      </w:r>
      <w:r>
        <w:rPr>
          <w:rStyle w:val="1Char"/>
          <w:rFonts w:hint="eastAsia"/>
        </w:rPr>
        <w:t xml:space="preserve">2 </w:t>
      </w:r>
      <w:r>
        <w:rPr>
          <w:rStyle w:val="1Char"/>
          <w:rFonts w:hint="eastAsia"/>
        </w:rPr>
        <w:t>人员访谈记录表</w:t>
      </w:r>
      <w:bookmarkEnd w:id="91"/>
      <w:r>
        <w:rPr>
          <w:noProof/>
        </w:rPr>
        <w:drawing>
          <wp:inline distT="0" distB="0" distL="114300" distR="114300">
            <wp:extent cx="5210175" cy="7715250"/>
            <wp:effectExtent l="0" t="0" r="9525"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48"/>
                    <a:stretch>
                      <a:fillRect/>
                    </a:stretch>
                  </pic:blipFill>
                  <pic:spPr>
                    <a:xfrm>
                      <a:off x="0" y="0"/>
                      <a:ext cx="5210175" cy="7715250"/>
                    </a:xfrm>
                    <a:prstGeom prst="rect">
                      <a:avLst/>
                    </a:prstGeom>
                    <a:noFill/>
                    <a:ln>
                      <a:noFill/>
                    </a:ln>
                  </pic:spPr>
                </pic:pic>
              </a:graphicData>
            </a:graphic>
          </wp:inline>
        </w:drawing>
      </w:r>
    </w:p>
    <w:p w:rsidR="002E0378" w:rsidRDefault="005C380A">
      <w:pPr>
        <w:ind w:firstLine="480"/>
        <w:rPr>
          <w:rFonts w:ascii="宋体" w:hAnsi="宋体" w:cs="宋体"/>
        </w:rPr>
        <w:sectPr w:rsidR="002E0378">
          <w:pgSz w:w="11906" w:h="16838"/>
          <w:pgMar w:top="1440" w:right="1800" w:bottom="1440" w:left="1800" w:header="851" w:footer="992" w:gutter="0"/>
          <w:cols w:space="720"/>
          <w:docGrid w:type="lines" w:linePitch="312"/>
        </w:sectPr>
      </w:pPr>
      <w:r>
        <w:rPr>
          <w:noProof/>
        </w:rPr>
        <w:lastRenderedPageBreak/>
        <w:drawing>
          <wp:inline distT="0" distB="0" distL="114300" distR="114300">
            <wp:extent cx="4695825" cy="7343775"/>
            <wp:effectExtent l="0" t="0" r="9525" b="952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9"/>
                    <a:stretch>
                      <a:fillRect/>
                    </a:stretch>
                  </pic:blipFill>
                  <pic:spPr>
                    <a:xfrm>
                      <a:off x="0" y="0"/>
                      <a:ext cx="4695825" cy="7343775"/>
                    </a:xfrm>
                    <a:prstGeom prst="rect">
                      <a:avLst/>
                    </a:prstGeom>
                    <a:noFill/>
                    <a:ln>
                      <a:noFill/>
                    </a:ln>
                  </pic:spPr>
                </pic:pic>
              </a:graphicData>
            </a:graphic>
          </wp:inline>
        </w:drawing>
      </w:r>
      <w:r>
        <w:rPr>
          <w:noProof/>
        </w:rPr>
        <w:lastRenderedPageBreak/>
        <w:drawing>
          <wp:inline distT="0" distB="0" distL="114300" distR="114300">
            <wp:extent cx="5038725" cy="7391400"/>
            <wp:effectExtent l="0" t="0" r="952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50"/>
                    <a:stretch>
                      <a:fillRect/>
                    </a:stretch>
                  </pic:blipFill>
                  <pic:spPr>
                    <a:xfrm>
                      <a:off x="0" y="0"/>
                      <a:ext cx="5038725" cy="7391400"/>
                    </a:xfrm>
                    <a:prstGeom prst="rect">
                      <a:avLst/>
                    </a:prstGeom>
                    <a:noFill/>
                    <a:ln>
                      <a:noFill/>
                    </a:ln>
                  </pic:spPr>
                </pic:pic>
              </a:graphicData>
            </a:graphic>
          </wp:inline>
        </w:drawing>
      </w:r>
      <w:r>
        <w:rPr>
          <w:noProof/>
        </w:rPr>
        <w:lastRenderedPageBreak/>
        <w:drawing>
          <wp:inline distT="0" distB="0" distL="114300" distR="114300">
            <wp:extent cx="4953000" cy="7486650"/>
            <wp:effectExtent l="0" t="0" r="0"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1"/>
                    <a:stretch>
                      <a:fillRect/>
                    </a:stretch>
                  </pic:blipFill>
                  <pic:spPr>
                    <a:xfrm>
                      <a:off x="0" y="0"/>
                      <a:ext cx="4953000" cy="7486650"/>
                    </a:xfrm>
                    <a:prstGeom prst="rect">
                      <a:avLst/>
                    </a:prstGeom>
                    <a:noFill/>
                    <a:ln>
                      <a:noFill/>
                    </a:ln>
                  </pic:spPr>
                </pic:pic>
              </a:graphicData>
            </a:graphic>
          </wp:inline>
        </w:drawing>
      </w:r>
    </w:p>
    <w:p w:rsidR="002E0378" w:rsidRDefault="005C380A">
      <w:pPr>
        <w:pStyle w:val="2"/>
      </w:pPr>
      <w:bookmarkStart w:id="92" w:name="_Toc4243"/>
      <w:r>
        <w:rPr>
          <w:rFonts w:hint="eastAsia"/>
        </w:rPr>
        <w:lastRenderedPageBreak/>
        <w:t>附件</w:t>
      </w:r>
      <w:r>
        <w:rPr>
          <w:rFonts w:hint="eastAsia"/>
        </w:rPr>
        <w:t xml:space="preserve">3 </w:t>
      </w:r>
      <w:r>
        <w:rPr>
          <w:rFonts w:hint="eastAsia"/>
        </w:rPr>
        <w:t>检测报告（土壤）</w:t>
      </w:r>
      <w:bookmarkEnd w:id="92"/>
    </w:p>
    <w:p w:rsidR="002E0378" w:rsidRDefault="005C380A">
      <w:r>
        <w:rPr>
          <w:rFonts w:ascii="宋体" w:hAnsi="宋体" w:cs="宋体" w:hint="eastAsia"/>
          <w:noProof/>
        </w:rPr>
        <w:drawing>
          <wp:inline distT="0" distB="0" distL="114300" distR="114300">
            <wp:extent cx="5271135" cy="7455535"/>
            <wp:effectExtent l="0" t="0" r="5715" b="12065"/>
            <wp:docPr id="124" name="图片 124" descr="23061004吉林省固体废物处理有限责任公司土壤检测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3061004吉林省固体废物处理有限责任公司土壤检测_Page1"/>
                    <pic:cNvPicPr>
                      <a:picLocks noChangeAspect="1"/>
                    </pic:cNvPicPr>
                  </pic:nvPicPr>
                  <pic:blipFill>
                    <a:blip r:embed="rId52"/>
                    <a:stretch>
                      <a:fillRect/>
                    </a:stretch>
                  </pic:blipFill>
                  <pic:spPr>
                    <a:xfrm>
                      <a:off x="0" y="0"/>
                      <a:ext cx="5271135" cy="7455535"/>
                    </a:xfrm>
                    <a:prstGeom prst="rect">
                      <a:avLst/>
                    </a:prstGeom>
                  </pic:spPr>
                </pic:pic>
              </a:graphicData>
            </a:graphic>
          </wp:inline>
        </w:drawing>
      </w:r>
    </w:p>
    <w:p w:rsidR="002E0378" w:rsidRDefault="005C380A">
      <w:pPr>
        <w:jc w:val="both"/>
        <w:rPr>
          <w:rFonts w:ascii="宋体" w:hAnsi="宋体" w:cs="宋体"/>
        </w:rPr>
      </w:pPr>
      <w:r>
        <w:rPr>
          <w:rFonts w:ascii="宋体" w:hAnsi="宋体" w:cs="宋体" w:hint="eastAsia"/>
          <w:noProof/>
        </w:rPr>
        <w:lastRenderedPageBreak/>
        <w:drawing>
          <wp:inline distT="0" distB="0" distL="114300" distR="114300">
            <wp:extent cx="5271135" cy="7455535"/>
            <wp:effectExtent l="0" t="0" r="5715" b="12065"/>
            <wp:docPr id="123" name="图片 123" descr="23061004吉林省固体废物处理有限责任公司土壤检测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3061004吉林省固体废物处理有限责任公司土壤检测_Page2"/>
                    <pic:cNvPicPr>
                      <a:picLocks noChangeAspect="1"/>
                    </pic:cNvPicPr>
                  </pic:nvPicPr>
                  <pic:blipFill>
                    <a:blip r:embed="rId53"/>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22" name="图片 122" descr="23061004吉林省固体废物处理有限责任公司土壤检测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3061004吉林省固体废物处理有限责任公司土壤检测_Page3"/>
                    <pic:cNvPicPr>
                      <a:picLocks noChangeAspect="1"/>
                    </pic:cNvPicPr>
                  </pic:nvPicPr>
                  <pic:blipFill>
                    <a:blip r:embed="rId54"/>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21" name="图片 121" descr="23061004吉林省固体废物处理有限责任公司土壤检测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3061004吉林省固体废物处理有限责任公司土壤检测_Page4"/>
                    <pic:cNvPicPr>
                      <a:picLocks noChangeAspect="1"/>
                    </pic:cNvPicPr>
                  </pic:nvPicPr>
                  <pic:blipFill>
                    <a:blip r:embed="rId55"/>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20" name="图片 120" descr="23061004吉林省固体废物处理有限责任公司土壤检测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3061004吉林省固体废物处理有限责任公司土壤检测_Page5"/>
                    <pic:cNvPicPr>
                      <a:picLocks noChangeAspect="1"/>
                    </pic:cNvPicPr>
                  </pic:nvPicPr>
                  <pic:blipFill>
                    <a:blip r:embed="rId56"/>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9" name="图片 119" descr="23061004吉林省固体废物处理有限责任公司土壤检测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3061004吉林省固体废物处理有限责任公司土壤检测_Page6"/>
                    <pic:cNvPicPr>
                      <a:picLocks noChangeAspect="1"/>
                    </pic:cNvPicPr>
                  </pic:nvPicPr>
                  <pic:blipFill>
                    <a:blip r:embed="rId57"/>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8" name="图片 118" descr="23061004吉林省固体废物处理有限责任公司土壤检测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3061004吉林省固体废物处理有限责任公司土壤检测_Page7"/>
                    <pic:cNvPicPr>
                      <a:picLocks noChangeAspect="1"/>
                    </pic:cNvPicPr>
                  </pic:nvPicPr>
                  <pic:blipFill>
                    <a:blip r:embed="rId58"/>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7" name="图片 117" descr="23061004吉林省固体废物处理有限责任公司土壤检测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3061004吉林省固体废物处理有限责任公司土壤检测_Page8"/>
                    <pic:cNvPicPr>
                      <a:picLocks noChangeAspect="1"/>
                    </pic:cNvPicPr>
                  </pic:nvPicPr>
                  <pic:blipFill>
                    <a:blip r:embed="rId59"/>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6" name="图片 116" descr="23061004吉林省固体废物处理有限责任公司土壤检测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3061004吉林省固体废物处理有限责任公司土壤检测_Page9"/>
                    <pic:cNvPicPr>
                      <a:picLocks noChangeAspect="1"/>
                    </pic:cNvPicPr>
                  </pic:nvPicPr>
                  <pic:blipFill>
                    <a:blip r:embed="rId60"/>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5" name="图片 115" descr="23061004吉林省固体废物处理有限责任公司土壤检测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3061004吉林省固体废物处理有限责任公司土壤检测_Page10"/>
                    <pic:cNvPicPr>
                      <a:picLocks noChangeAspect="1"/>
                    </pic:cNvPicPr>
                  </pic:nvPicPr>
                  <pic:blipFill>
                    <a:blip r:embed="rId61"/>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4" name="图片 114" descr="23061004吉林省固体废物处理有限责任公司土壤检测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3061004吉林省固体废物处理有限责任公司土壤检测_Page11"/>
                    <pic:cNvPicPr>
                      <a:picLocks noChangeAspect="1"/>
                    </pic:cNvPicPr>
                  </pic:nvPicPr>
                  <pic:blipFill>
                    <a:blip r:embed="rId62"/>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3" name="图片 113" descr="23061004吉林省固体废物处理有限责任公司土壤检测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3061004吉林省固体废物处理有限责任公司土壤检测_Page12"/>
                    <pic:cNvPicPr>
                      <a:picLocks noChangeAspect="1"/>
                    </pic:cNvPicPr>
                  </pic:nvPicPr>
                  <pic:blipFill>
                    <a:blip r:embed="rId63"/>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2" name="图片 112" descr="23061004吉林省固体废物处理有限责任公司土壤检测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3061004吉林省固体废物处理有限责任公司土壤检测_Page13"/>
                    <pic:cNvPicPr>
                      <a:picLocks noChangeAspect="1"/>
                    </pic:cNvPicPr>
                  </pic:nvPicPr>
                  <pic:blipFill>
                    <a:blip r:embed="rId64"/>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1" name="图片 111" descr="23061004吉林省固体废物处理有限责任公司土壤检测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3061004吉林省固体废物处理有限责任公司土壤检测_Page14"/>
                    <pic:cNvPicPr>
                      <a:picLocks noChangeAspect="1"/>
                    </pic:cNvPicPr>
                  </pic:nvPicPr>
                  <pic:blipFill>
                    <a:blip r:embed="rId65"/>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10" name="图片 110" descr="23061004吉林省固体废物处理有限责任公司土壤检测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3061004吉林省固体废物处理有限责任公司土壤检测_Page15"/>
                    <pic:cNvPicPr>
                      <a:picLocks noChangeAspect="1"/>
                    </pic:cNvPicPr>
                  </pic:nvPicPr>
                  <pic:blipFill>
                    <a:blip r:embed="rId66"/>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9" name="图片 109" descr="23061004吉林省固体废物处理有限责任公司土壤检测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3061004吉林省固体废物处理有限责任公司土壤检测_Page16"/>
                    <pic:cNvPicPr>
                      <a:picLocks noChangeAspect="1"/>
                    </pic:cNvPicPr>
                  </pic:nvPicPr>
                  <pic:blipFill>
                    <a:blip r:embed="rId67"/>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8" name="图片 108" descr="23061004吉林省固体废物处理有限责任公司土壤检测_P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3061004吉林省固体废物处理有限责任公司土壤检测_Page17"/>
                    <pic:cNvPicPr>
                      <a:picLocks noChangeAspect="1"/>
                    </pic:cNvPicPr>
                  </pic:nvPicPr>
                  <pic:blipFill>
                    <a:blip r:embed="rId68"/>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7" name="图片 107" descr="23061004吉林省固体废物处理有限责任公司土壤检测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3061004吉林省固体废物处理有限责任公司土壤检测_Page18"/>
                    <pic:cNvPicPr>
                      <a:picLocks noChangeAspect="1"/>
                    </pic:cNvPicPr>
                  </pic:nvPicPr>
                  <pic:blipFill>
                    <a:blip r:embed="rId69"/>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6" name="图片 106" descr="23061004吉林省固体废物处理有限责任公司土壤检测_P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3061004吉林省固体废物处理有限责任公司土壤检测_Page19"/>
                    <pic:cNvPicPr>
                      <a:picLocks noChangeAspect="1"/>
                    </pic:cNvPicPr>
                  </pic:nvPicPr>
                  <pic:blipFill>
                    <a:blip r:embed="rId70"/>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5" name="图片 105" descr="23061004吉林省固体废物处理有限责任公司土壤检测_P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3061004吉林省固体废物处理有限责任公司土壤检测_Page20"/>
                    <pic:cNvPicPr>
                      <a:picLocks noChangeAspect="1"/>
                    </pic:cNvPicPr>
                  </pic:nvPicPr>
                  <pic:blipFill>
                    <a:blip r:embed="rId71"/>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4" name="图片 104" descr="23061004吉林省固体废物处理有限责任公司土壤检测_P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3061004吉林省固体废物处理有限责任公司土壤检测_Page21"/>
                    <pic:cNvPicPr>
                      <a:picLocks noChangeAspect="1"/>
                    </pic:cNvPicPr>
                  </pic:nvPicPr>
                  <pic:blipFill>
                    <a:blip r:embed="rId72"/>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3" name="图片 103" descr="23061004吉林省固体废物处理有限责任公司土壤检测_P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3061004吉林省固体废物处理有限责任公司土壤检测_Page22"/>
                    <pic:cNvPicPr>
                      <a:picLocks noChangeAspect="1"/>
                    </pic:cNvPicPr>
                  </pic:nvPicPr>
                  <pic:blipFill>
                    <a:blip r:embed="rId73"/>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2" name="图片 102" descr="23061004吉林省固体废物处理有限责任公司土壤检测_P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3061004吉林省固体废物处理有限责任公司土壤检测_Page23"/>
                    <pic:cNvPicPr>
                      <a:picLocks noChangeAspect="1"/>
                    </pic:cNvPicPr>
                  </pic:nvPicPr>
                  <pic:blipFill>
                    <a:blip r:embed="rId74"/>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1" name="图片 101" descr="23061004吉林省固体废物处理有限责任公司土壤检测_P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3061004吉林省固体废物处理有限责任公司土壤检测_Page24"/>
                    <pic:cNvPicPr>
                      <a:picLocks noChangeAspect="1"/>
                    </pic:cNvPicPr>
                  </pic:nvPicPr>
                  <pic:blipFill>
                    <a:blip r:embed="rId75"/>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100" name="图片 100" descr="23061004吉林省固体废物处理有限责任公司土壤检测_P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3061004吉林省固体废物处理有限责任公司土壤检测_Page25"/>
                    <pic:cNvPicPr>
                      <a:picLocks noChangeAspect="1"/>
                    </pic:cNvPicPr>
                  </pic:nvPicPr>
                  <pic:blipFill>
                    <a:blip r:embed="rId76"/>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9" name="图片 99" descr="23061004吉林省固体废物处理有限责任公司土壤检测_P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3061004吉林省固体废物处理有限责任公司土壤检测_Page26"/>
                    <pic:cNvPicPr>
                      <a:picLocks noChangeAspect="1"/>
                    </pic:cNvPicPr>
                  </pic:nvPicPr>
                  <pic:blipFill>
                    <a:blip r:embed="rId77"/>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8" name="图片 98" descr="23061004吉林省固体废物处理有限责任公司土壤检测_P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3061004吉林省固体废物处理有限责任公司土壤检测_Page27"/>
                    <pic:cNvPicPr>
                      <a:picLocks noChangeAspect="1"/>
                    </pic:cNvPicPr>
                  </pic:nvPicPr>
                  <pic:blipFill>
                    <a:blip r:embed="rId78"/>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7" name="图片 97" descr="23061004吉林省固体废物处理有限责任公司土壤检测_P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3061004吉林省固体废物处理有限责任公司土壤检测_Page28"/>
                    <pic:cNvPicPr>
                      <a:picLocks noChangeAspect="1"/>
                    </pic:cNvPicPr>
                  </pic:nvPicPr>
                  <pic:blipFill>
                    <a:blip r:embed="rId79"/>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6" name="图片 96" descr="23061004吉林省固体废物处理有限责任公司土壤检测_P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3061004吉林省固体废物处理有限责任公司土壤检测_Page29"/>
                    <pic:cNvPicPr>
                      <a:picLocks noChangeAspect="1"/>
                    </pic:cNvPicPr>
                  </pic:nvPicPr>
                  <pic:blipFill>
                    <a:blip r:embed="rId80"/>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5" name="图片 95" descr="23061004吉林省固体废物处理有限责任公司土壤检测_P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3061004吉林省固体废物处理有限责任公司土壤检测_Page30"/>
                    <pic:cNvPicPr>
                      <a:picLocks noChangeAspect="1"/>
                    </pic:cNvPicPr>
                  </pic:nvPicPr>
                  <pic:blipFill>
                    <a:blip r:embed="rId81"/>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4" name="图片 94" descr="23061004吉林省固体废物处理有限责任公司土壤检测_P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3061004吉林省固体废物处理有限责任公司土壤检测_Page31"/>
                    <pic:cNvPicPr>
                      <a:picLocks noChangeAspect="1"/>
                    </pic:cNvPicPr>
                  </pic:nvPicPr>
                  <pic:blipFill>
                    <a:blip r:embed="rId82"/>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3" name="图片 93" descr="23061004吉林省固体废物处理有限责任公司土壤检测_P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3061004吉林省固体废物处理有限责任公司土壤检测_Page32"/>
                    <pic:cNvPicPr>
                      <a:picLocks noChangeAspect="1"/>
                    </pic:cNvPicPr>
                  </pic:nvPicPr>
                  <pic:blipFill>
                    <a:blip r:embed="rId83"/>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2" name="图片 92" descr="23061004吉林省固体废物处理有限责任公司土壤检测_P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3061004吉林省固体废物处理有限责任公司土壤检测_Page33"/>
                    <pic:cNvPicPr>
                      <a:picLocks noChangeAspect="1"/>
                    </pic:cNvPicPr>
                  </pic:nvPicPr>
                  <pic:blipFill>
                    <a:blip r:embed="rId84"/>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1" name="图片 91" descr="23061004吉林省固体废物处理有限责任公司土壤检测_P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3061004吉林省固体废物处理有限责任公司土壤检测_Page34"/>
                    <pic:cNvPicPr>
                      <a:picLocks noChangeAspect="1"/>
                    </pic:cNvPicPr>
                  </pic:nvPicPr>
                  <pic:blipFill>
                    <a:blip r:embed="rId85"/>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90" name="图片 90" descr="23061004吉林省固体废物处理有限责任公司土壤检测_P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3061004吉林省固体废物处理有限责任公司土壤检测_Page35"/>
                    <pic:cNvPicPr>
                      <a:picLocks noChangeAspect="1"/>
                    </pic:cNvPicPr>
                  </pic:nvPicPr>
                  <pic:blipFill>
                    <a:blip r:embed="rId86"/>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9" name="图片 89" descr="23061004吉林省固体废物处理有限责任公司土壤检测_P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3061004吉林省固体废物处理有限责任公司土壤检测_Page36"/>
                    <pic:cNvPicPr>
                      <a:picLocks noChangeAspect="1"/>
                    </pic:cNvPicPr>
                  </pic:nvPicPr>
                  <pic:blipFill>
                    <a:blip r:embed="rId87"/>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8" name="图片 88" descr="23061004吉林省固体废物处理有限责任公司土壤检测_P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3061004吉林省固体废物处理有限责任公司土壤检测_Page37"/>
                    <pic:cNvPicPr>
                      <a:picLocks noChangeAspect="1"/>
                    </pic:cNvPicPr>
                  </pic:nvPicPr>
                  <pic:blipFill>
                    <a:blip r:embed="rId88"/>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7" name="图片 87" descr="23061004吉林省固体废物处理有限责任公司土壤检测_P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3061004吉林省固体废物处理有限责任公司土壤检测_Page38"/>
                    <pic:cNvPicPr>
                      <a:picLocks noChangeAspect="1"/>
                    </pic:cNvPicPr>
                  </pic:nvPicPr>
                  <pic:blipFill>
                    <a:blip r:embed="rId89"/>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6" name="图片 86" descr="23061004吉林省固体废物处理有限责任公司土壤检测_P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3061004吉林省固体废物处理有限责任公司土壤检测_Page39"/>
                    <pic:cNvPicPr>
                      <a:picLocks noChangeAspect="1"/>
                    </pic:cNvPicPr>
                  </pic:nvPicPr>
                  <pic:blipFill>
                    <a:blip r:embed="rId90"/>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5" name="图片 85" descr="23061004吉林省固体废物处理有限责任公司土壤检测_P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3061004吉林省固体废物处理有限责任公司土壤检测_Page40"/>
                    <pic:cNvPicPr>
                      <a:picLocks noChangeAspect="1"/>
                    </pic:cNvPicPr>
                  </pic:nvPicPr>
                  <pic:blipFill>
                    <a:blip r:embed="rId91"/>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4" name="图片 84" descr="23061004吉林省固体废物处理有限责任公司土壤检测_P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3061004吉林省固体废物处理有限责任公司土壤检测_Page41"/>
                    <pic:cNvPicPr>
                      <a:picLocks noChangeAspect="1"/>
                    </pic:cNvPicPr>
                  </pic:nvPicPr>
                  <pic:blipFill>
                    <a:blip r:embed="rId92"/>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3" name="图片 83" descr="23061004吉林省固体废物处理有限责任公司土壤检测_P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3061004吉林省固体废物处理有限责任公司土壤检测_Page42"/>
                    <pic:cNvPicPr>
                      <a:picLocks noChangeAspect="1"/>
                    </pic:cNvPicPr>
                  </pic:nvPicPr>
                  <pic:blipFill>
                    <a:blip r:embed="rId93"/>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2" name="图片 82" descr="23061004吉林省固体废物处理有限责任公司土壤检测_P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3061004吉林省固体废物处理有限责任公司土壤检测_Page43"/>
                    <pic:cNvPicPr>
                      <a:picLocks noChangeAspect="1"/>
                    </pic:cNvPicPr>
                  </pic:nvPicPr>
                  <pic:blipFill>
                    <a:blip r:embed="rId94"/>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1" name="图片 81" descr="23061004吉林省固体废物处理有限责任公司土壤检测_P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3061004吉林省固体废物处理有限责任公司土壤检测_Page44"/>
                    <pic:cNvPicPr>
                      <a:picLocks noChangeAspect="1"/>
                    </pic:cNvPicPr>
                  </pic:nvPicPr>
                  <pic:blipFill>
                    <a:blip r:embed="rId95"/>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80" name="图片 80" descr="23061004吉林省固体废物处理有限责任公司土壤检测_P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3061004吉林省固体废物处理有限责任公司土壤检测_Page45"/>
                    <pic:cNvPicPr>
                      <a:picLocks noChangeAspect="1"/>
                    </pic:cNvPicPr>
                  </pic:nvPicPr>
                  <pic:blipFill>
                    <a:blip r:embed="rId96"/>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79" name="图片 79" descr="23061004吉林省固体废物处理有限责任公司土壤检测_P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3061004吉林省固体废物处理有限责任公司土壤检测_Page46"/>
                    <pic:cNvPicPr>
                      <a:picLocks noChangeAspect="1"/>
                    </pic:cNvPicPr>
                  </pic:nvPicPr>
                  <pic:blipFill>
                    <a:blip r:embed="rId97"/>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78" name="图片 78" descr="23061004吉林省固体废物处理有限责任公司土壤检测_P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3061004吉林省固体废物处理有限责任公司土壤检测_Page47"/>
                    <pic:cNvPicPr>
                      <a:picLocks noChangeAspect="1"/>
                    </pic:cNvPicPr>
                  </pic:nvPicPr>
                  <pic:blipFill>
                    <a:blip r:embed="rId98"/>
                    <a:stretch>
                      <a:fillRect/>
                    </a:stretch>
                  </pic:blipFill>
                  <pic:spPr>
                    <a:xfrm>
                      <a:off x="0" y="0"/>
                      <a:ext cx="5271135" cy="7455535"/>
                    </a:xfrm>
                    <a:prstGeom prst="rect">
                      <a:avLst/>
                    </a:prstGeom>
                  </pic:spPr>
                </pic:pic>
              </a:graphicData>
            </a:graphic>
          </wp:inline>
        </w:drawing>
      </w:r>
      <w:r>
        <w:rPr>
          <w:rFonts w:ascii="宋体" w:hAnsi="宋体" w:cs="宋体" w:hint="eastAsia"/>
          <w:noProof/>
        </w:rPr>
        <w:lastRenderedPageBreak/>
        <w:drawing>
          <wp:inline distT="0" distB="0" distL="114300" distR="114300">
            <wp:extent cx="5271135" cy="7455535"/>
            <wp:effectExtent l="0" t="0" r="5715" b="12065"/>
            <wp:docPr id="77" name="图片 77" descr="23061004吉林省固体废物处理有限责任公司土壤检测_P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3061004吉林省固体废物处理有限责任公司土壤检测_Page48"/>
                    <pic:cNvPicPr>
                      <a:picLocks noChangeAspect="1"/>
                    </pic:cNvPicPr>
                  </pic:nvPicPr>
                  <pic:blipFill>
                    <a:blip r:embed="rId99"/>
                    <a:stretch>
                      <a:fillRect/>
                    </a:stretch>
                  </pic:blipFill>
                  <pic:spPr>
                    <a:xfrm>
                      <a:off x="0" y="0"/>
                      <a:ext cx="5271135" cy="7455535"/>
                    </a:xfrm>
                    <a:prstGeom prst="rect">
                      <a:avLst/>
                    </a:prstGeom>
                  </pic:spPr>
                </pic:pic>
              </a:graphicData>
            </a:graphic>
          </wp:inline>
        </w:drawing>
      </w:r>
    </w:p>
    <w:p w:rsidR="002E0378" w:rsidRDefault="002E0378">
      <w:pPr>
        <w:ind w:firstLine="480"/>
        <w:rPr>
          <w:rFonts w:ascii="宋体" w:hAnsi="宋体" w:cs="宋体"/>
        </w:rPr>
      </w:pPr>
    </w:p>
    <w:p w:rsidR="002E0378" w:rsidRDefault="002E0378">
      <w:pPr>
        <w:ind w:firstLine="480"/>
        <w:rPr>
          <w:rFonts w:ascii="宋体" w:hAnsi="宋体" w:cs="宋体"/>
        </w:rPr>
      </w:pPr>
    </w:p>
    <w:p w:rsidR="002E0378" w:rsidRDefault="002E0378">
      <w:pPr>
        <w:jc w:val="both"/>
        <w:rPr>
          <w:rFonts w:ascii="宋体" w:hAnsi="宋体" w:cs="宋体"/>
        </w:rPr>
      </w:pPr>
    </w:p>
    <w:p w:rsidR="002E0378" w:rsidRDefault="005C380A">
      <w:pPr>
        <w:pStyle w:val="112"/>
        <w:spacing w:line="240" w:lineRule="auto"/>
        <w:ind w:firstLineChars="0" w:firstLine="0"/>
        <w:sectPr w:rsidR="002E0378">
          <w:pgSz w:w="11906" w:h="16838"/>
          <w:pgMar w:top="1440" w:right="1800" w:bottom="1440" w:left="1800" w:header="851" w:footer="992" w:gutter="0"/>
          <w:cols w:space="720"/>
          <w:docGrid w:type="lines" w:linePitch="312"/>
        </w:sectPr>
      </w:pPr>
      <w:r>
        <w:rPr>
          <w:rFonts w:hint="eastAsia"/>
          <w:noProof/>
        </w:rPr>
        <w:lastRenderedPageBreak/>
        <w:drawing>
          <wp:inline distT="0" distB="0" distL="114300" distR="114300">
            <wp:extent cx="5271135" cy="7455535"/>
            <wp:effectExtent l="0" t="0" r="5715" b="12065"/>
            <wp:docPr id="76" name="图片 76" descr="GE2304271701C(1)吉林省固体废物处理有限责任公司%刘义华(2)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GE2304271701C(1)吉林省固体废物处理有限责任公司%刘义华(2)_Page1"/>
                    <pic:cNvPicPr>
                      <a:picLocks noChangeAspect="1"/>
                    </pic:cNvPicPr>
                  </pic:nvPicPr>
                  <pic:blipFill>
                    <a:blip r:embed="rId100"/>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5" name="图片 75" descr="GE2304271701C(1)吉林省固体废物处理有限责任公司%刘义华(2)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GE2304271701C(1)吉林省固体废物处理有限责任公司%刘义华(2)_Page2"/>
                    <pic:cNvPicPr>
                      <a:picLocks noChangeAspect="1"/>
                    </pic:cNvPicPr>
                  </pic:nvPicPr>
                  <pic:blipFill>
                    <a:blip r:embed="rId101"/>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4" name="图片 74" descr="GE2304271701C(1)吉林省固体废物处理有限责任公司%刘义华(2)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GE2304271701C(1)吉林省固体废物处理有限责任公司%刘义华(2)_Page3"/>
                    <pic:cNvPicPr>
                      <a:picLocks noChangeAspect="1"/>
                    </pic:cNvPicPr>
                  </pic:nvPicPr>
                  <pic:blipFill>
                    <a:blip r:embed="rId102"/>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3" name="图片 73" descr="GE2304271701C(1)吉林省固体废物处理有限责任公司%刘义华(2)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GE2304271701C(1)吉林省固体废物处理有限责任公司%刘义华(2)_Page4"/>
                    <pic:cNvPicPr>
                      <a:picLocks noChangeAspect="1"/>
                    </pic:cNvPicPr>
                  </pic:nvPicPr>
                  <pic:blipFill>
                    <a:blip r:embed="rId103"/>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2" name="图片 72" descr="GE2304271701C(1)吉林省固体废物处理有限责任公司%刘义华(2)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GE2304271701C(1)吉林省固体废物处理有限责任公司%刘义华(2)_Page5"/>
                    <pic:cNvPicPr>
                      <a:picLocks noChangeAspect="1"/>
                    </pic:cNvPicPr>
                  </pic:nvPicPr>
                  <pic:blipFill>
                    <a:blip r:embed="rId104"/>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1" name="图片 71" descr="GE2304271701C(1)吉林省固体废物处理有限责任公司%刘义华(2)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GE2304271701C(1)吉林省固体废物处理有限责任公司%刘义华(2)_Page6"/>
                    <pic:cNvPicPr>
                      <a:picLocks noChangeAspect="1"/>
                    </pic:cNvPicPr>
                  </pic:nvPicPr>
                  <pic:blipFill>
                    <a:blip r:embed="rId105"/>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70" name="图片 70" descr="GE2304271701C(1)吉林省固体废物处理有限责任公司%刘义华(2)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GE2304271701C(1)吉林省固体废物处理有限责任公司%刘义华(2)_Page7"/>
                    <pic:cNvPicPr>
                      <a:picLocks noChangeAspect="1"/>
                    </pic:cNvPicPr>
                  </pic:nvPicPr>
                  <pic:blipFill>
                    <a:blip r:embed="rId106"/>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9" name="图片 69" descr="GE2304271701C(1)吉林省固体废物处理有限责任公司%刘义华(2)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GE2304271701C(1)吉林省固体废物处理有限责任公司%刘义华(2)_Page8"/>
                    <pic:cNvPicPr>
                      <a:picLocks noChangeAspect="1"/>
                    </pic:cNvPicPr>
                  </pic:nvPicPr>
                  <pic:blipFill>
                    <a:blip r:embed="rId107"/>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8" name="图片 68" descr="GE2304271701C(1)吉林省固体废物处理有限责任公司%刘义华(2)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GE2304271701C(1)吉林省固体废物处理有限责任公司%刘义华(2)_Page9"/>
                    <pic:cNvPicPr>
                      <a:picLocks noChangeAspect="1"/>
                    </pic:cNvPicPr>
                  </pic:nvPicPr>
                  <pic:blipFill>
                    <a:blip r:embed="rId108"/>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7" name="图片 67" descr="GE2304271701C(1)吉林省固体废物处理有限责任公司%刘义华(2)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GE2304271701C(1)吉林省固体废物处理有限责任公司%刘义华(2)_Page10"/>
                    <pic:cNvPicPr>
                      <a:picLocks noChangeAspect="1"/>
                    </pic:cNvPicPr>
                  </pic:nvPicPr>
                  <pic:blipFill>
                    <a:blip r:embed="rId109"/>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5" name="图片 65" descr="GE2304271701C(1)吉林省固体废物处理有限责任公司%刘义华(2)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GE2304271701C(1)吉林省固体废物处理有限责任公司%刘义华(2)_Page11"/>
                    <pic:cNvPicPr>
                      <a:picLocks noChangeAspect="1"/>
                    </pic:cNvPicPr>
                  </pic:nvPicPr>
                  <pic:blipFill>
                    <a:blip r:embed="rId110"/>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4" name="图片 64" descr="GE2304271701C(1)吉林省固体废物处理有限责任公司%刘义华(2)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GE2304271701C(1)吉林省固体废物处理有限责任公司%刘义华(2)_Page12"/>
                    <pic:cNvPicPr>
                      <a:picLocks noChangeAspect="1"/>
                    </pic:cNvPicPr>
                  </pic:nvPicPr>
                  <pic:blipFill>
                    <a:blip r:embed="rId111"/>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3" name="图片 63" descr="GE2304271701C(1)吉林省固体废物处理有限责任公司%刘义华(2)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GE2304271701C(1)吉林省固体废物处理有限责任公司%刘义华(2)_Page13"/>
                    <pic:cNvPicPr>
                      <a:picLocks noChangeAspect="1"/>
                    </pic:cNvPicPr>
                  </pic:nvPicPr>
                  <pic:blipFill>
                    <a:blip r:embed="rId112"/>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2" name="图片 62" descr="GE2304271701C(1)吉林省固体废物处理有限责任公司%刘义华(2)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GE2304271701C(1)吉林省固体废物处理有限责任公司%刘义华(2)_Page14"/>
                    <pic:cNvPicPr>
                      <a:picLocks noChangeAspect="1"/>
                    </pic:cNvPicPr>
                  </pic:nvPicPr>
                  <pic:blipFill>
                    <a:blip r:embed="rId113"/>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36" name="图片 36" descr="GE2304271701C(1)吉林省固体废物处理有限责任公司%刘义华(2)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GE2304271701C(1)吉林省固体废物处理有限责任公司%刘义华(2)_Page15"/>
                    <pic:cNvPicPr>
                      <a:picLocks noChangeAspect="1"/>
                    </pic:cNvPicPr>
                  </pic:nvPicPr>
                  <pic:blipFill>
                    <a:blip r:embed="rId114"/>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60" name="图片 60" descr="GE2304271701C(1)吉林省固体废物处理有限责任公司%刘义华(2)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GE2304271701C(1)吉林省固体废物处理有限责任公司%刘义华(2)_Page16"/>
                    <pic:cNvPicPr>
                      <a:picLocks noChangeAspect="1"/>
                    </pic:cNvPicPr>
                  </pic:nvPicPr>
                  <pic:blipFill>
                    <a:blip r:embed="rId115"/>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37" name="图片 37" descr="GE2304271701C(1)吉林省固体废物处理有限责任公司%刘义华(2)_P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GE2304271701C(1)吉林省固体废物处理有限责任公司%刘义华(2)_Page17"/>
                    <pic:cNvPicPr>
                      <a:picLocks noChangeAspect="1"/>
                    </pic:cNvPicPr>
                  </pic:nvPicPr>
                  <pic:blipFill>
                    <a:blip r:embed="rId116"/>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38" name="图片 38" descr="GE2304271701C(1)吉林省固体废物处理有限责任公司%刘义华(2)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GE2304271701C(1)吉林省固体废物处理有限责任公司%刘义华(2)_Page18"/>
                    <pic:cNvPicPr>
                      <a:picLocks noChangeAspect="1"/>
                    </pic:cNvPicPr>
                  </pic:nvPicPr>
                  <pic:blipFill>
                    <a:blip r:embed="rId117"/>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57" name="图片 57" descr="GE2304271701C(1)吉林省固体废物处理有限责任公司%刘义华(2)_P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GE2304271701C(1)吉林省固体废物处理有限责任公司%刘义华(2)_Page19"/>
                    <pic:cNvPicPr>
                      <a:picLocks noChangeAspect="1"/>
                    </pic:cNvPicPr>
                  </pic:nvPicPr>
                  <pic:blipFill>
                    <a:blip r:embed="rId118"/>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56" name="图片 56" descr="GE2304271701C(1)吉林省固体废物处理有限责任公司%刘义华(2)_P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GE2304271701C(1)吉林省固体废物处理有限责任公司%刘义华(2)_Page20"/>
                    <pic:cNvPicPr>
                      <a:picLocks noChangeAspect="1"/>
                    </pic:cNvPicPr>
                  </pic:nvPicPr>
                  <pic:blipFill>
                    <a:blip r:embed="rId119"/>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55" name="图片 55" descr="GE2304271701C(1)吉林省固体废物处理有限责任公司%刘义华(2)_P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GE2304271701C(1)吉林省固体废物处理有限责任公司%刘义华(2)_Page21"/>
                    <pic:cNvPicPr>
                      <a:picLocks noChangeAspect="1"/>
                    </pic:cNvPicPr>
                  </pic:nvPicPr>
                  <pic:blipFill>
                    <a:blip r:embed="rId120"/>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54" name="图片 54" descr="GE2304271701C(1)吉林省固体废物处理有限责任公司%刘义华(2)_P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GE2304271701C(1)吉林省固体废物处理有限责任公司%刘义华(2)_Page22"/>
                    <pic:cNvPicPr>
                      <a:picLocks noChangeAspect="1"/>
                    </pic:cNvPicPr>
                  </pic:nvPicPr>
                  <pic:blipFill>
                    <a:blip r:embed="rId121"/>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53" name="图片 53" descr="GE2304271701C(1)吉林省固体废物处理有限责任公司%刘义华(2)_P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GE2304271701C(1)吉林省固体废物处理有限责任公司%刘义华(2)_Page23"/>
                    <pic:cNvPicPr>
                      <a:picLocks noChangeAspect="1"/>
                    </pic:cNvPicPr>
                  </pic:nvPicPr>
                  <pic:blipFill>
                    <a:blip r:embed="rId122"/>
                    <a:stretch>
                      <a:fillRect/>
                    </a:stretch>
                  </pic:blipFill>
                  <pic:spPr>
                    <a:xfrm>
                      <a:off x="0" y="0"/>
                      <a:ext cx="5271135" cy="7455535"/>
                    </a:xfrm>
                    <a:prstGeom prst="rect">
                      <a:avLst/>
                    </a:prstGeom>
                  </pic:spPr>
                </pic:pic>
              </a:graphicData>
            </a:graphic>
          </wp:inline>
        </w:drawing>
      </w:r>
      <w:r>
        <w:rPr>
          <w:rFonts w:hint="eastAsia"/>
          <w:noProof/>
        </w:rPr>
        <w:lastRenderedPageBreak/>
        <w:drawing>
          <wp:inline distT="0" distB="0" distL="114300" distR="114300">
            <wp:extent cx="5271135" cy="7455535"/>
            <wp:effectExtent l="0" t="0" r="5715" b="12065"/>
            <wp:docPr id="39" name="图片 39" descr="GE2304271701C(1)吉林省固体废物处理有限责任公司%刘义华(2)_P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GE2304271701C(1)吉林省固体废物处理有限责任公司%刘义华(2)_Page24"/>
                    <pic:cNvPicPr>
                      <a:picLocks noChangeAspect="1"/>
                    </pic:cNvPicPr>
                  </pic:nvPicPr>
                  <pic:blipFill>
                    <a:blip r:embed="rId123"/>
                    <a:stretch>
                      <a:fillRect/>
                    </a:stretch>
                  </pic:blipFill>
                  <pic:spPr>
                    <a:xfrm>
                      <a:off x="0" y="0"/>
                      <a:ext cx="5271135" cy="7455535"/>
                    </a:xfrm>
                    <a:prstGeom prst="rect">
                      <a:avLst/>
                    </a:prstGeom>
                  </pic:spPr>
                </pic:pic>
              </a:graphicData>
            </a:graphic>
          </wp:inline>
        </w:drawing>
      </w:r>
    </w:p>
    <w:p w:rsidR="002E0378" w:rsidRDefault="005C380A">
      <w:pPr>
        <w:pStyle w:val="112"/>
        <w:spacing w:line="240" w:lineRule="auto"/>
        <w:ind w:firstLineChars="0" w:firstLine="0"/>
        <w:jc w:val="left"/>
        <w:rPr>
          <w:b/>
          <w:color w:val="auto"/>
          <w:sz w:val="24"/>
        </w:rPr>
      </w:pPr>
      <w:bookmarkStart w:id="93" w:name="_Toc9055"/>
      <w:r>
        <w:rPr>
          <w:rStyle w:val="1Char"/>
          <w:rFonts w:hint="eastAsia"/>
          <w:color w:val="000000" w:themeColor="text1"/>
        </w:rPr>
        <w:lastRenderedPageBreak/>
        <w:t>附件</w:t>
      </w:r>
      <w:r>
        <w:rPr>
          <w:rStyle w:val="1Char"/>
          <w:rFonts w:hint="eastAsia"/>
          <w:color w:val="000000" w:themeColor="text1"/>
        </w:rPr>
        <w:t xml:space="preserve">4 </w:t>
      </w:r>
      <w:r>
        <w:rPr>
          <w:rStyle w:val="1Char"/>
          <w:rFonts w:hint="eastAsia"/>
          <w:color w:val="000000" w:themeColor="text1"/>
        </w:rPr>
        <w:t>检测报告（地下水）</w:t>
      </w:r>
      <w:bookmarkEnd w:id="93"/>
      <w:r>
        <w:rPr>
          <w:rFonts w:hint="eastAsia"/>
          <w:b/>
          <w:noProof/>
          <w:color w:val="auto"/>
          <w:sz w:val="24"/>
        </w:rPr>
        <w:drawing>
          <wp:inline distT="0" distB="0" distL="114300" distR="114300">
            <wp:extent cx="5271135" cy="7455535"/>
            <wp:effectExtent l="0" t="0" r="5715" b="12065"/>
            <wp:docPr id="40" name="图片 40" descr="23060702吉林省固体废物处理有限责任公司常规检测（月）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3060702吉林省固体废物处理有限责任公司常规检测（月）_Page1"/>
                    <pic:cNvPicPr>
                      <a:picLocks noChangeAspect="1"/>
                    </pic:cNvPicPr>
                  </pic:nvPicPr>
                  <pic:blipFill>
                    <a:blip r:embed="rId124"/>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1" name="图片 41" descr="23060702吉林省固体废物处理有限责任公司常规检测（月）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3060702吉林省固体废物处理有限责任公司常规检测（月）_Page2"/>
                    <pic:cNvPicPr>
                      <a:picLocks noChangeAspect="1"/>
                    </pic:cNvPicPr>
                  </pic:nvPicPr>
                  <pic:blipFill>
                    <a:blip r:embed="rId125"/>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2" name="图片 42" descr="23060702吉林省固体废物处理有限责任公司常规检测（月）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3060702吉林省固体废物处理有限责任公司常规检测（月）_Page3"/>
                    <pic:cNvPicPr>
                      <a:picLocks noChangeAspect="1"/>
                    </pic:cNvPicPr>
                  </pic:nvPicPr>
                  <pic:blipFill>
                    <a:blip r:embed="rId126"/>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3" name="图片 43" descr="23060702吉林省固体废物处理有限责任公司常规检测（月）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3060702吉林省固体废物处理有限责任公司常规检测（月）_Page4"/>
                    <pic:cNvPicPr>
                      <a:picLocks noChangeAspect="1"/>
                    </pic:cNvPicPr>
                  </pic:nvPicPr>
                  <pic:blipFill>
                    <a:blip r:embed="rId127"/>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4" name="图片 44" descr="23060702吉林省固体废物处理有限责任公司常规检测（月）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3060702吉林省固体废物处理有限责任公司常规检测（月）_Page5"/>
                    <pic:cNvPicPr>
                      <a:picLocks noChangeAspect="1"/>
                    </pic:cNvPicPr>
                  </pic:nvPicPr>
                  <pic:blipFill>
                    <a:blip r:embed="rId128"/>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25" name="图片 125" descr="23060702吉林省固体废物处理有限责任公司常规检测（月）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3060702吉林省固体废物处理有限责任公司常规检测（月）_Page6"/>
                    <pic:cNvPicPr>
                      <a:picLocks noChangeAspect="1"/>
                    </pic:cNvPicPr>
                  </pic:nvPicPr>
                  <pic:blipFill>
                    <a:blip r:embed="rId129"/>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37" name="图片 137" descr="23060702吉林省固体废物处理有限责任公司常规检测（月）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3060702吉林省固体废物处理有限责任公司常规检测（月）_Page7"/>
                    <pic:cNvPicPr>
                      <a:picLocks noChangeAspect="1"/>
                    </pic:cNvPicPr>
                  </pic:nvPicPr>
                  <pic:blipFill>
                    <a:blip r:embed="rId130"/>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36" name="图片 136" descr="23060702吉林省固体废物处理有限责任公司常规检测（月）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3060702吉林省固体废物处理有限责任公司常规检测（月）_Page8"/>
                    <pic:cNvPicPr>
                      <a:picLocks noChangeAspect="1"/>
                    </pic:cNvPicPr>
                  </pic:nvPicPr>
                  <pic:blipFill>
                    <a:blip r:embed="rId131"/>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35" name="图片 135" descr="23060702吉林省固体废物处理有限责任公司常规检测（月）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3060702吉林省固体废物处理有限责任公司常规检测（月）_Page9"/>
                    <pic:cNvPicPr>
                      <a:picLocks noChangeAspect="1"/>
                    </pic:cNvPicPr>
                  </pic:nvPicPr>
                  <pic:blipFill>
                    <a:blip r:embed="rId132"/>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34" name="图片 134" descr="23060702吉林省固体废物处理有限责任公司常规检测（月）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3060702吉林省固体废物处理有限责任公司常规检测（月）_Page10"/>
                    <pic:cNvPicPr>
                      <a:picLocks noChangeAspect="1"/>
                    </pic:cNvPicPr>
                  </pic:nvPicPr>
                  <pic:blipFill>
                    <a:blip r:embed="rId133"/>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5" name="图片 45" descr="23060702吉林省固体废物处理有限责任公司常规检测（月）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3060702吉林省固体废物处理有限责任公司常规检测（月）_Page11"/>
                    <pic:cNvPicPr>
                      <a:picLocks noChangeAspect="1"/>
                    </pic:cNvPicPr>
                  </pic:nvPicPr>
                  <pic:blipFill>
                    <a:blip r:embed="rId134"/>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46" name="图片 46" descr="23060702吉林省固体废物处理有限责任公司常规检测（月）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3060702吉林省固体废物处理有限责任公司常规检测（月）_Page12"/>
                    <pic:cNvPicPr>
                      <a:picLocks noChangeAspect="1"/>
                    </pic:cNvPicPr>
                  </pic:nvPicPr>
                  <pic:blipFill>
                    <a:blip r:embed="rId135"/>
                    <a:stretch>
                      <a:fillRect/>
                    </a:stretch>
                  </pic:blipFill>
                  <pic:spPr>
                    <a:xfrm>
                      <a:off x="0" y="0"/>
                      <a:ext cx="5271135" cy="7455535"/>
                    </a:xfrm>
                    <a:prstGeom prst="rect">
                      <a:avLst/>
                    </a:prstGeom>
                  </pic:spPr>
                </pic:pic>
              </a:graphicData>
            </a:graphic>
          </wp:inline>
        </w:drawing>
      </w:r>
      <w:r>
        <w:rPr>
          <w:rFonts w:hint="eastAsia"/>
          <w:b/>
          <w:noProof/>
          <w:color w:val="auto"/>
          <w:sz w:val="24"/>
        </w:rPr>
        <w:lastRenderedPageBreak/>
        <w:drawing>
          <wp:inline distT="0" distB="0" distL="114300" distR="114300">
            <wp:extent cx="5271135" cy="7455535"/>
            <wp:effectExtent l="0" t="0" r="5715" b="12065"/>
            <wp:docPr id="131" name="图片 131" descr="23060702吉林省固体废物处理有限责任公司常规检测（月）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3060702吉林省固体废物处理有限责任公司常规检测（月）_Page13"/>
                    <pic:cNvPicPr>
                      <a:picLocks noChangeAspect="1"/>
                    </pic:cNvPicPr>
                  </pic:nvPicPr>
                  <pic:blipFill>
                    <a:blip r:embed="rId136"/>
                    <a:stretch>
                      <a:fillRect/>
                    </a:stretch>
                  </pic:blipFill>
                  <pic:spPr>
                    <a:xfrm>
                      <a:off x="0" y="0"/>
                      <a:ext cx="5271135" cy="7455535"/>
                    </a:xfrm>
                    <a:prstGeom prst="rect">
                      <a:avLst/>
                    </a:prstGeom>
                  </pic:spPr>
                </pic:pic>
              </a:graphicData>
            </a:graphic>
          </wp:inline>
        </w:drawing>
      </w:r>
    </w:p>
    <w:p w:rsidR="002E0378" w:rsidRDefault="002E0378">
      <w:pPr>
        <w:pStyle w:val="2"/>
        <w:rPr>
          <w:rFonts w:ascii="宋体" w:hAnsi="宋体" w:cs="宋体"/>
        </w:rPr>
      </w:pPr>
    </w:p>
    <w:p w:rsidR="002E0378" w:rsidRDefault="002E0378">
      <w:pPr>
        <w:ind w:firstLine="480"/>
        <w:rPr>
          <w:rFonts w:ascii="宋体" w:hAnsi="宋体" w:cs="宋体"/>
        </w:rPr>
      </w:pPr>
    </w:p>
    <w:p w:rsidR="002E0378" w:rsidRDefault="002E0378">
      <w:pPr>
        <w:ind w:firstLine="480"/>
        <w:rPr>
          <w:rFonts w:ascii="宋体" w:hAnsi="宋体" w:cs="宋体"/>
        </w:rPr>
        <w:sectPr w:rsidR="002E0378">
          <w:pgSz w:w="11906" w:h="16838"/>
          <w:pgMar w:top="1440" w:right="1800" w:bottom="1440" w:left="1800" w:header="851" w:footer="992" w:gutter="0"/>
          <w:cols w:space="720"/>
          <w:docGrid w:type="lines" w:linePitch="312"/>
        </w:sectPr>
      </w:pPr>
    </w:p>
    <w:p w:rsidR="002E0378" w:rsidRDefault="005C380A">
      <w:pPr>
        <w:pStyle w:val="2"/>
        <w:rPr>
          <w:bCs/>
          <w:szCs w:val="28"/>
        </w:rPr>
      </w:pPr>
      <w:bookmarkStart w:id="94" w:name="_Toc12118"/>
      <w:r>
        <w:rPr>
          <w:rFonts w:hint="eastAsia"/>
          <w:szCs w:val="28"/>
        </w:rPr>
        <w:lastRenderedPageBreak/>
        <w:t>附件</w:t>
      </w:r>
      <w:r>
        <w:rPr>
          <w:rFonts w:hint="eastAsia"/>
          <w:szCs w:val="28"/>
        </w:rPr>
        <w:t xml:space="preserve">5 </w:t>
      </w:r>
      <w:r>
        <w:rPr>
          <w:rFonts w:hint="eastAsia"/>
          <w:szCs w:val="28"/>
        </w:rPr>
        <w:t>涉及的有毒有害物质情况说明</w:t>
      </w:r>
      <w:bookmarkEnd w:id="94"/>
    </w:p>
    <w:p w:rsidR="002E0378" w:rsidRDefault="005C380A">
      <w:pPr>
        <w:pStyle w:val="a4"/>
        <w:widowControl w:val="0"/>
        <w:adjustRightInd w:val="0"/>
        <w:snapToGrid w:val="0"/>
        <w:ind w:firstLineChars="0" w:firstLine="0"/>
        <w:jc w:val="center"/>
        <w:rPr>
          <w:b/>
          <w:bCs/>
          <w:sz w:val="32"/>
          <w:szCs w:val="32"/>
        </w:rPr>
      </w:pPr>
      <w:bookmarkStart w:id="95" w:name="_Toc27050"/>
      <w:r>
        <w:rPr>
          <w:rFonts w:hint="eastAsia"/>
          <w:b/>
          <w:bCs/>
          <w:sz w:val="32"/>
          <w:szCs w:val="32"/>
        </w:rPr>
        <w:t>吉林省固体废物处理有限责任公司</w:t>
      </w:r>
    </w:p>
    <w:p w:rsidR="002E0378" w:rsidRDefault="005C380A">
      <w:pPr>
        <w:pStyle w:val="a4"/>
        <w:widowControl w:val="0"/>
        <w:adjustRightInd w:val="0"/>
        <w:snapToGrid w:val="0"/>
        <w:ind w:firstLineChars="0" w:firstLine="0"/>
        <w:jc w:val="center"/>
        <w:rPr>
          <w:b/>
          <w:bCs/>
          <w:sz w:val="32"/>
          <w:szCs w:val="32"/>
          <w:lang w:val="en-US"/>
        </w:rPr>
      </w:pPr>
      <w:r>
        <w:rPr>
          <w:rFonts w:hint="eastAsia"/>
          <w:b/>
          <w:bCs/>
          <w:sz w:val="32"/>
          <w:szCs w:val="32"/>
          <w:lang w:val="en-US"/>
        </w:rPr>
        <w:t>涉及的有毒有害物质</w:t>
      </w:r>
      <w:bookmarkEnd w:id="95"/>
      <w:r>
        <w:rPr>
          <w:rFonts w:hint="eastAsia"/>
          <w:b/>
          <w:bCs/>
          <w:sz w:val="32"/>
          <w:szCs w:val="32"/>
          <w:lang w:val="en-US"/>
        </w:rPr>
        <w:t>情况说明</w:t>
      </w:r>
    </w:p>
    <w:p w:rsidR="002E0378" w:rsidRDefault="005C380A">
      <w:pPr>
        <w:pStyle w:val="a4"/>
        <w:ind w:firstLine="480"/>
        <w:rPr>
          <w:lang w:val="en-US"/>
        </w:rPr>
      </w:pPr>
      <w:r>
        <w:rPr>
          <w:lang w:val="en-US"/>
        </w:rPr>
        <w:t>根据《重点监管单位土壤污染隐患排查指南（试行）》，有毒有害物质主要指：</w:t>
      </w:r>
    </w:p>
    <w:p w:rsidR="002E0378" w:rsidRDefault="005C380A">
      <w:pPr>
        <w:pStyle w:val="a4"/>
        <w:ind w:firstLine="480"/>
        <w:rPr>
          <w:lang w:val="en-US"/>
        </w:rPr>
      </w:pPr>
      <w:r>
        <w:rPr>
          <w:lang w:val="en-US"/>
        </w:rPr>
        <w:t>1</w:t>
      </w:r>
      <w:r>
        <w:rPr>
          <w:lang w:val="en-US"/>
        </w:rPr>
        <w:t>、列入《中华人民共和国水污染防治法》规定的有毒有害水污染物名录的污染物；</w:t>
      </w:r>
    </w:p>
    <w:p w:rsidR="002E0378" w:rsidRDefault="005C380A">
      <w:pPr>
        <w:pStyle w:val="a4"/>
        <w:ind w:firstLine="480"/>
        <w:rPr>
          <w:lang w:val="en-US"/>
        </w:rPr>
      </w:pPr>
      <w:r>
        <w:rPr>
          <w:lang w:val="en-US"/>
        </w:rPr>
        <w:t>2</w:t>
      </w:r>
      <w:r>
        <w:rPr>
          <w:lang w:val="en-US"/>
        </w:rPr>
        <w:t>、列入《中华人民共和国大气污染防治法》规定的有毒有害大气污染物名录的污染物；</w:t>
      </w:r>
    </w:p>
    <w:p w:rsidR="002E0378" w:rsidRDefault="005C380A">
      <w:pPr>
        <w:pStyle w:val="a4"/>
        <w:ind w:firstLine="480"/>
        <w:rPr>
          <w:lang w:val="en-US"/>
        </w:rPr>
      </w:pPr>
      <w:r>
        <w:rPr>
          <w:lang w:val="en-US"/>
        </w:rPr>
        <w:t>3</w:t>
      </w:r>
      <w:r>
        <w:rPr>
          <w:lang w:val="en-US"/>
        </w:rPr>
        <w:t>、《中华人民共和国固体废物污染环境防治法》规定的危险废物；</w:t>
      </w:r>
    </w:p>
    <w:p w:rsidR="002E0378" w:rsidRDefault="005C380A">
      <w:pPr>
        <w:pStyle w:val="a4"/>
        <w:ind w:firstLine="480"/>
        <w:rPr>
          <w:lang w:val="en-US"/>
        </w:rPr>
      </w:pPr>
      <w:r>
        <w:rPr>
          <w:lang w:val="en-US"/>
        </w:rPr>
        <w:t>4</w:t>
      </w:r>
      <w:r>
        <w:rPr>
          <w:lang w:val="en-US"/>
        </w:rPr>
        <w:t>、国家和地方建设用地土壤污染风险管控标准管控的污染物；</w:t>
      </w:r>
    </w:p>
    <w:p w:rsidR="002E0378" w:rsidRDefault="005C380A">
      <w:pPr>
        <w:pStyle w:val="a4"/>
        <w:ind w:firstLine="480"/>
        <w:rPr>
          <w:lang w:val="en-US"/>
        </w:rPr>
      </w:pPr>
      <w:r>
        <w:rPr>
          <w:lang w:val="en-US"/>
        </w:rPr>
        <w:t>5</w:t>
      </w:r>
      <w:r>
        <w:rPr>
          <w:lang w:val="en-US"/>
        </w:rPr>
        <w:t>、列入优先控制化学品名录内的物质；</w:t>
      </w:r>
    </w:p>
    <w:p w:rsidR="002E0378" w:rsidRDefault="005C380A">
      <w:pPr>
        <w:pStyle w:val="a4"/>
        <w:ind w:firstLine="480"/>
        <w:rPr>
          <w:lang w:val="en-US"/>
        </w:rPr>
      </w:pPr>
      <w:r>
        <w:rPr>
          <w:lang w:val="en-US"/>
        </w:rPr>
        <w:t>6</w:t>
      </w:r>
      <w:r>
        <w:rPr>
          <w:lang w:val="en-US"/>
        </w:rPr>
        <w:t>、其他根据国家法律法规有关规定应当纳入有毒有害物质管理的物质。</w:t>
      </w:r>
    </w:p>
    <w:p w:rsidR="002E0378" w:rsidRDefault="005C380A">
      <w:pPr>
        <w:pStyle w:val="a4"/>
        <w:ind w:firstLine="480"/>
      </w:pPr>
      <w:r>
        <w:rPr>
          <w:rFonts w:hint="eastAsia"/>
          <w:lang w:val="en-US"/>
        </w:rPr>
        <w:t>本公司为生态保护和环境治理业单位，负责处理省内各类危险废物及吉林市内的医疗废物。为具有针对性的展开调查工作，经资料搜集和分析，结合现场踏勘情况，以场地主要功能区为基础，本公司涉及的有毒有害物质如下表所示。</w:t>
      </w:r>
    </w:p>
    <w:p w:rsidR="002E0378" w:rsidRDefault="005C380A">
      <w:pPr>
        <w:pStyle w:val="a4"/>
        <w:ind w:firstLineChars="0" w:firstLine="0"/>
        <w:jc w:val="center"/>
      </w:pPr>
      <w:r>
        <w:rPr>
          <w:rFonts w:hint="eastAsia"/>
          <w:b/>
          <w:bCs/>
        </w:rPr>
        <w:t>涉及的有毒有害物质一览表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380"/>
        <w:gridCol w:w="3623"/>
        <w:gridCol w:w="1595"/>
        <w:gridCol w:w="1046"/>
      </w:tblGrid>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序号</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类别</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涉及文件</w:t>
            </w:r>
          </w:p>
        </w:tc>
        <w:tc>
          <w:tcPr>
            <w:tcW w:w="868" w:type="pct"/>
            <w:vAlign w:val="center"/>
          </w:tcPr>
          <w:p w:rsidR="002E0378" w:rsidRDefault="005C380A">
            <w:pPr>
              <w:rPr>
                <w:rFonts w:ascii="Times New Roman" w:hAnsi="Times New Roman"/>
                <w:sz w:val="18"/>
                <w:szCs w:val="18"/>
              </w:rPr>
            </w:pPr>
            <w:r>
              <w:rPr>
                <w:rFonts w:ascii="Times New Roman" w:hAnsi="Times New Roman"/>
                <w:sz w:val="18"/>
                <w:szCs w:val="18"/>
              </w:rPr>
              <w:t>涉及该类别有毒有害物质</w:t>
            </w:r>
          </w:p>
        </w:tc>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主要来源</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1</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列入《中华人民共和国水污染防治法》规定的有毒有害水污染物名录的污染物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《有毒有害水污染物名录》（生态环境部</w:t>
            </w:r>
            <w:r>
              <w:rPr>
                <w:rFonts w:ascii="Times New Roman" w:hAnsi="Times New Roman"/>
                <w:sz w:val="18"/>
                <w:szCs w:val="18"/>
              </w:rPr>
              <w:t xml:space="preserve"> </w:t>
            </w:r>
            <w:r>
              <w:rPr>
                <w:rFonts w:ascii="Times New Roman" w:hAnsi="Times New Roman"/>
                <w:sz w:val="18"/>
                <w:szCs w:val="18"/>
              </w:rPr>
              <w:t>国家卫生健康委员会公告</w:t>
            </w:r>
            <w:r>
              <w:rPr>
                <w:rFonts w:ascii="Times New Roman" w:hAnsi="Times New Roman"/>
                <w:sz w:val="18"/>
                <w:szCs w:val="18"/>
              </w:rPr>
              <w:t>2019</w:t>
            </w:r>
            <w:r>
              <w:rPr>
                <w:rFonts w:ascii="Times New Roman" w:hAnsi="Times New Roman"/>
                <w:sz w:val="18"/>
                <w:szCs w:val="18"/>
              </w:rPr>
              <w:t>年第</w:t>
            </w:r>
            <w:r>
              <w:rPr>
                <w:rFonts w:ascii="Times New Roman" w:hAnsi="Times New Roman"/>
                <w:sz w:val="18"/>
                <w:szCs w:val="18"/>
              </w:rPr>
              <w:t>28</w:t>
            </w:r>
            <w:r>
              <w:rPr>
                <w:rFonts w:ascii="Times New Roman" w:hAnsi="Times New Roman"/>
                <w:sz w:val="18"/>
                <w:szCs w:val="18"/>
              </w:rPr>
              <w:t>号）</w:t>
            </w:r>
          </w:p>
        </w:tc>
        <w:tc>
          <w:tcPr>
            <w:tcW w:w="868" w:type="pct"/>
            <w:vAlign w:val="center"/>
          </w:tcPr>
          <w:p w:rsidR="002E0378" w:rsidRDefault="005C380A">
            <w:pPr>
              <w:jc w:val="left"/>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汞及其化合物、砷及其化合物、铅及其化合物、镉及其化合物、六价铬化合物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废水</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2</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列入《中华人民共和国大气污染防治法》规定的有毒有害大气污染物名录的污染物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《有毒有害大气污染物名录》（生态环境部</w:t>
            </w:r>
            <w:r>
              <w:rPr>
                <w:rFonts w:ascii="Times New Roman" w:hAnsi="Times New Roman"/>
                <w:sz w:val="18"/>
                <w:szCs w:val="18"/>
              </w:rPr>
              <w:t xml:space="preserve"> </w:t>
            </w:r>
            <w:r>
              <w:rPr>
                <w:rFonts w:ascii="Times New Roman" w:hAnsi="Times New Roman"/>
                <w:sz w:val="18"/>
                <w:szCs w:val="18"/>
              </w:rPr>
              <w:t>国家卫生健康委员会公告</w:t>
            </w:r>
            <w:r>
              <w:rPr>
                <w:rFonts w:ascii="Times New Roman" w:hAnsi="Times New Roman"/>
                <w:sz w:val="18"/>
                <w:szCs w:val="18"/>
              </w:rPr>
              <w:t>2019</w:t>
            </w:r>
            <w:r>
              <w:rPr>
                <w:rFonts w:ascii="Times New Roman" w:hAnsi="Times New Roman"/>
                <w:sz w:val="18"/>
                <w:szCs w:val="18"/>
              </w:rPr>
              <w:t>年第</w:t>
            </w:r>
            <w:r>
              <w:rPr>
                <w:rFonts w:ascii="Times New Roman" w:hAnsi="Times New Roman"/>
                <w:sz w:val="18"/>
                <w:szCs w:val="18"/>
              </w:rPr>
              <w:t>4</w:t>
            </w:r>
            <w:r>
              <w:rPr>
                <w:rFonts w:ascii="Times New Roman" w:hAnsi="Times New Roman"/>
                <w:sz w:val="18"/>
                <w:szCs w:val="18"/>
              </w:rPr>
              <w:t>号）</w:t>
            </w:r>
          </w:p>
        </w:tc>
        <w:tc>
          <w:tcPr>
            <w:tcW w:w="868" w:type="pct"/>
            <w:vAlign w:val="center"/>
          </w:tcPr>
          <w:p w:rsidR="002E0378" w:rsidRDefault="005C380A">
            <w:pPr>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废气</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3</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《中华人民共和国固体废物污染环境防治法》规定的危险废物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《危险废物名录》（</w:t>
            </w:r>
            <w:r>
              <w:rPr>
                <w:rFonts w:ascii="Times New Roman" w:hAnsi="Times New Roman"/>
                <w:sz w:val="18"/>
                <w:szCs w:val="18"/>
              </w:rPr>
              <w:t>2021</w:t>
            </w:r>
            <w:r>
              <w:rPr>
                <w:rFonts w:ascii="Times New Roman" w:hAnsi="Times New Roman"/>
                <w:sz w:val="18"/>
                <w:szCs w:val="18"/>
              </w:rPr>
              <w:t>年版）</w:t>
            </w:r>
          </w:p>
        </w:tc>
        <w:tc>
          <w:tcPr>
            <w:tcW w:w="868" w:type="pct"/>
            <w:vAlign w:val="center"/>
          </w:tcPr>
          <w:p w:rsidR="002E0378" w:rsidRDefault="005C380A">
            <w:pPr>
              <w:rPr>
                <w:rFonts w:ascii="Times New Roman" w:hAnsi="Times New Roman"/>
                <w:sz w:val="18"/>
                <w:szCs w:val="18"/>
              </w:rPr>
            </w:pPr>
            <w:r>
              <w:rPr>
                <w:rFonts w:ascii="Times New Roman" w:hAnsi="Times New Roman" w:hint="eastAsia"/>
                <w:sz w:val="18"/>
                <w:szCs w:val="18"/>
              </w:rPr>
              <w:t>各类危险废物及吉林市内的医疗废物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外来</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4</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国家和地方建设用地土壤污染风险管控标准管控的污染物</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《土壤环境质量</w:t>
            </w:r>
            <w:r>
              <w:rPr>
                <w:rFonts w:ascii="Times New Roman" w:hAnsi="Times New Roman"/>
                <w:sz w:val="18"/>
                <w:szCs w:val="18"/>
              </w:rPr>
              <w:t xml:space="preserve"> </w:t>
            </w:r>
            <w:r>
              <w:rPr>
                <w:rFonts w:ascii="Times New Roman" w:hAnsi="Times New Roman"/>
                <w:sz w:val="18"/>
                <w:szCs w:val="18"/>
              </w:rPr>
              <w:t>建设用地土壤污染风险管控标准（试行）（</w:t>
            </w:r>
            <w:r>
              <w:rPr>
                <w:rFonts w:ascii="Times New Roman" w:hAnsi="Times New Roman"/>
                <w:sz w:val="18"/>
                <w:szCs w:val="18"/>
              </w:rPr>
              <w:t>GB366</w:t>
            </w:r>
            <w:r>
              <w:rPr>
                <w:rFonts w:ascii="Times New Roman" w:hAnsi="Times New Roman" w:hint="eastAsia"/>
                <w:sz w:val="18"/>
                <w:szCs w:val="18"/>
              </w:rPr>
              <w:t>0</w:t>
            </w:r>
            <w:r>
              <w:rPr>
                <w:rFonts w:ascii="Times New Roman" w:hAnsi="Times New Roman"/>
                <w:sz w:val="18"/>
                <w:szCs w:val="18"/>
              </w:rPr>
              <w:t>0-2018</w:t>
            </w:r>
            <w:r>
              <w:rPr>
                <w:rFonts w:ascii="Times New Roman" w:hAnsi="Times New Roman"/>
                <w:sz w:val="18"/>
                <w:szCs w:val="18"/>
              </w:rPr>
              <w:t>）》</w:t>
            </w:r>
          </w:p>
        </w:tc>
        <w:tc>
          <w:tcPr>
            <w:tcW w:w="868" w:type="pct"/>
            <w:vAlign w:val="center"/>
          </w:tcPr>
          <w:p w:rsidR="002E0378" w:rsidRDefault="005C380A">
            <w:pPr>
              <w:rPr>
                <w:rFonts w:ascii="Times New Roman" w:hAnsi="Times New Roman"/>
                <w:sz w:val="18"/>
                <w:szCs w:val="18"/>
              </w:rPr>
            </w:pPr>
            <w:r>
              <w:rPr>
                <w:rFonts w:ascii="宋体" w:hAnsi="宋体" w:cs="宋体" w:hint="eastAsia"/>
                <w:color w:val="000000"/>
                <w:kern w:val="0"/>
                <w:sz w:val="18"/>
                <w:szCs w:val="18"/>
                <w:lang w:bidi="ar"/>
              </w:rPr>
              <w:t>汞及其化合物、砷及其化合物、铅及其化合物、镉及其</w:t>
            </w:r>
            <w:r>
              <w:rPr>
                <w:rFonts w:ascii="宋体" w:hAnsi="宋体" w:cs="宋体" w:hint="eastAsia"/>
                <w:color w:val="000000"/>
                <w:kern w:val="0"/>
                <w:sz w:val="18"/>
                <w:szCs w:val="18"/>
                <w:lang w:bidi="ar"/>
              </w:rPr>
              <w:lastRenderedPageBreak/>
              <w:t>化合物、六价铬化合物</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lastRenderedPageBreak/>
              <w:t>外来</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lastRenderedPageBreak/>
              <w:t>5</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列入有限控制化学品名录内的物质</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优先控制化学品名录（第一批：环境保护部、工业和信息化部、国家卫生和计划生育委员会公告</w:t>
            </w:r>
            <w:r>
              <w:rPr>
                <w:rFonts w:ascii="Times New Roman" w:hAnsi="Times New Roman"/>
                <w:sz w:val="18"/>
                <w:szCs w:val="18"/>
              </w:rPr>
              <w:t>2017</w:t>
            </w:r>
            <w:r>
              <w:rPr>
                <w:rFonts w:ascii="Times New Roman" w:hAnsi="Times New Roman"/>
                <w:sz w:val="18"/>
                <w:szCs w:val="18"/>
              </w:rPr>
              <w:t>年第</w:t>
            </w:r>
            <w:r>
              <w:rPr>
                <w:rFonts w:ascii="Times New Roman" w:hAnsi="Times New Roman"/>
                <w:sz w:val="18"/>
                <w:szCs w:val="18"/>
              </w:rPr>
              <w:t>83</w:t>
            </w:r>
            <w:r>
              <w:rPr>
                <w:rFonts w:ascii="Times New Roman" w:hAnsi="Times New Roman"/>
                <w:sz w:val="18"/>
                <w:szCs w:val="18"/>
              </w:rPr>
              <w:t>号，第二批：生态环境部、工业和信息化部、国家卫生健康委员会公告</w:t>
            </w:r>
            <w:r>
              <w:rPr>
                <w:rFonts w:ascii="Times New Roman" w:hAnsi="Times New Roman"/>
                <w:sz w:val="18"/>
                <w:szCs w:val="18"/>
              </w:rPr>
              <w:t>2020</w:t>
            </w:r>
            <w:r>
              <w:rPr>
                <w:rFonts w:ascii="Times New Roman" w:hAnsi="Times New Roman"/>
                <w:sz w:val="18"/>
                <w:szCs w:val="18"/>
              </w:rPr>
              <w:t>年第</w:t>
            </w:r>
            <w:r>
              <w:rPr>
                <w:rFonts w:ascii="Times New Roman" w:hAnsi="Times New Roman"/>
                <w:sz w:val="18"/>
                <w:szCs w:val="18"/>
              </w:rPr>
              <w:t>47</w:t>
            </w:r>
            <w:r>
              <w:rPr>
                <w:rFonts w:ascii="Times New Roman" w:hAnsi="Times New Roman"/>
                <w:sz w:val="18"/>
                <w:szCs w:val="18"/>
              </w:rPr>
              <w:t>号）</w:t>
            </w:r>
          </w:p>
        </w:tc>
        <w:tc>
          <w:tcPr>
            <w:tcW w:w="868" w:type="pct"/>
            <w:vAlign w:val="center"/>
          </w:tcPr>
          <w:p w:rsidR="002E0378" w:rsidRDefault="005C380A">
            <w:pPr>
              <w:rPr>
                <w:rFonts w:ascii="Times New Roman" w:hAnsi="Times New Roman"/>
                <w:sz w:val="18"/>
                <w:szCs w:val="18"/>
              </w:rPr>
            </w:pPr>
            <w:r>
              <w:rPr>
                <w:rFonts w:ascii="Times New Roman" w:hAnsi="Times New Roman" w:hint="eastAsia"/>
                <w:sz w:val="18"/>
                <w:szCs w:val="18"/>
              </w:rPr>
              <w:t>-</w:t>
            </w:r>
          </w:p>
        </w:tc>
        <w:tc>
          <w:tcPr>
            <w:tcW w:w="569" w:type="pct"/>
            <w:vAlign w:val="center"/>
          </w:tcPr>
          <w:p w:rsidR="002E0378" w:rsidRDefault="005C380A">
            <w:pPr>
              <w:rPr>
                <w:rFonts w:ascii="Times New Roman" w:hAnsi="Times New Roman"/>
                <w:sz w:val="18"/>
                <w:szCs w:val="18"/>
              </w:rPr>
            </w:pPr>
            <w:r>
              <w:rPr>
                <w:rFonts w:ascii="Times New Roman" w:hAnsi="Times New Roman" w:hint="eastAsia"/>
                <w:sz w:val="18"/>
                <w:szCs w:val="18"/>
              </w:rPr>
              <w:t>-</w:t>
            </w:r>
          </w:p>
        </w:tc>
      </w:tr>
      <w:tr w:rsidR="002E0378">
        <w:trPr>
          <w:trHeight w:val="397"/>
        </w:trPr>
        <w:tc>
          <w:tcPr>
            <w:tcW w:w="297" w:type="pct"/>
            <w:vAlign w:val="center"/>
          </w:tcPr>
          <w:p w:rsidR="002E0378" w:rsidRDefault="005C380A">
            <w:pPr>
              <w:rPr>
                <w:rFonts w:ascii="Times New Roman" w:hAnsi="Times New Roman"/>
                <w:sz w:val="18"/>
                <w:szCs w:val="18"/>
              </w:rPr>
            </w:pPr>
            <w:r>
              <w:rPr>
                <w:rFonts w:ascii="Times New Roman" w:hAnsi="Times New Roman"/>
                <w:sz w:val="18"/>
                <w:szCs w:val="18"/>
              </w:rPr>
              <w:t>6</w:t>
            </w:r>
          </w:p>
        </w:tc>
        <w:tc>
          <w:tcPr>
            <w:tcW w:w="1294" w:type="pct"/>
            <w:vAlign w:val="center"/>
          </w:tcPr>
          <w:p w:rsidR="002E0378" w:rsidRDefault="005C380A">
            <w:pPr>
              <w:rPr>
                <w:rFonts w:ascii="Times New Roman" w:hAnsi="Times New Roman"/>
                <w:sz w:val="18"/>
                <w:szCs w:val="18"/>
              </w:rPr>
            </w:pPr>
            <w:r>
              <w:rPr>
                <w:rFonts w:ascii="Times New Roman" w:hAnsi="Times New Roman"/>
                <w:sz w:val="18"/>
                <w:szCs w:val="18"/>
              </w:rPr>
              <w:t>其他根据国家法律法规有关规定应当纳入有毒有害物质管理的物质</w:t>
            </w:r>
          </w:p>
        </w:tc>
        <w:tc>
          <w:tcPr>
            <w:tcW w:w="1970" w:type="pct"/>
            <w:vAlign w:val="center"/>
          </w:tcPr>
          <w:p w:rsidR="002E0378" w:rsidRDefault="005C380A">
            <w:pPr>
              <w:rPr>
                <w:rFonts w:ascii="Times New Roman" w:hAnsi="Times New Roman"/>
                <w:sz w:val="18"/>
                <w:szCs w:val="18"/>
              </w:rPr>
            </w:pPr>
            <w:r>
              <w:rPr>
                <w:rFonts w:ascii="Times New Roman" w:hAnsi="Times New Roman"/>
                <w:sz w:val="18"/>
                <w:szCs w:val="18"/>
              </w:rPr>
              <w:t>--</w:t>
            </w:r>
          </w:p>
        </w:tc>
        <w:tc>
          <w:tcPr>
            <w:tcW w:w="868" w:type="pct"/>
            <w:vAlign w:val="center"/>
          </w:tcPr>
          <w:p w:rsidR="002E0378" w:rsidRDefault="005C380A">
            <w:pPr>
              <w:rPr>
                <w:rFonts w:ascii="Times New Roman" w:hAnsi="Times New Roman"/>
                <w:sz w:val="18"/>
                <w:szCs w:val="18"/>
              </w:rPr>
            </w:pPr>
            <w:r>
              <w:rPr>
                <w:rFonts w:ascii="Times New Roman" w:hAnsi="Times New Roman"/>
                <w:sz w:val="18"/>
                <w:szCs w:val="18"/>
              </w:rPr>
              <w:t>-</w:t>
            </w:r>
          </w:p>
        </w:tc>
        <w:tc>
          <w:tcPr>
            <w:tcW w:w="569" w:type="pct"/>
            <w:vAlign w:val="center"/>
          </w:tcPr>
          <w:p w:rsidR="002E0378" w:rsidRDefault="005C380A">
            <w:pPr>
              <w:rPr>
                <w:rFonts w:ascii="Times New Roman" w:hAnsi="Times New Roman"/>
                <w:sz w:val="18"/>
                <w:szCs w:val="18"/>
              </w:rPr>
            </w:pPr>
            <w:r>
              <w:rPr>
                <w:rFonts w:ascii="Times New Roman" w:hAnsi="Times New Roman"/>
                <w:sz w:val="18"/>
                <w:szCs w:val="18"/>
              </w:rPr>
              <w:t>-</w:t>
            </w:r>
          </w:p>
        </w:tc>
      </w:tr>
    </w:tbl>
    <w:p w:rsidR="002E0378" w:rsidRDefault="005C380A">
      <w:pPr>
        <w:pStyle w:val="a4"/>
        <w:ind w:firstLine="480"/>
        <w:rPr>
          <w:rFonts w:ascii="宋体" w:hAnsi="宋体"/>
          <w:lang w:val="en-US"/>
        </w:rPr>
      </w:pPr>
      <w:r>
        <w:rPr>
          <w:rFonts w:hint="eastAsia"/>
          <w:lang w:val="en-US"/>
        </w:rPr>
        <w:t>企业废气、废水、固废产生情况。</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 xml:space="preserve">1 </w:t>
      </w:r>
      <w:r>
        <w:rPr>
          <w:rFonts w:cs="宋体" w:hint="eastAsia"/>
          <w:b w:val="0"/>
          <w:bCs w:val="0"/>
          <w:kern w:val="2"/>
          <w:szCs w:val="28"/>
          <w:lang w:bidi="zh-CN"/>
        </w:rPr>
        <w:t>废气</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焚烧炉烟气主要污染物为烟尘、酸性气体（</w:t>
      </w:r>
      <w:r>
        <w:rPr>
          <w:rFonts w:cs="宋体" w:hint="eastAsia"/>
          <w:b w:val="0"/>
          <w:bCs w:val="0"/>
          <w:kern w:val="2"/>
          <w:szCs w:val="28"/>
          <w:lang w:bidi="zh-CN"/>
        </w:rPr>
        <w:t>HCl</w:t>
      </w:r>
      <w:r>
        <w:rPr>
          <w:rFonts w:cs="宋体" w:hint="eastAsia"/>
          <w:b w:val="0"/>
          <w:bCs w:val="0"/>
          <w:kern w:val="2"/>
          <w:szCs w:val="28"/>
          <w:lang w:bidi="zh-CN"/>
        </w:rPr>
        <w:t>、</w:t>
      </w:r>
      <w:r>
        <w:rPr>
          <w:rFonts w:cs="宋体" w:hint="eastAsia"/>
          <w:b w:val="0"/>
          <w:bCs w:val="0"/>
          <w:kern w:val="2"/>
          <w:szCs w:val="28"/>
          <w:lang w:bidi="zh-CN"/>
        </w:rPr>
        <w:t>HF</w:t>
      </w:r>
      <w:r>
        <w:rPr>
          <w:rFonts w:cs="宋体" w:hint="eastAsia"/>
          <w:b w:val="0"/>
          <w:bCs w:val="0"/>
          <w:kern w:val="2"/>
          <w:szCs w:val="28"/>
          <w:lang w:bidi="zh-CN"/>
        </w:rPr>
        <w:t>、</w:t>
      </w:r>
      <w:r>
        <w:rPr>
          <w:rFonts w:cs="宋体" w:hint="eastAsia"/>
          <w:b w:val="0"/>
          <w:bCs w:val="0"/>
          <w:kern w:val="2"/>
          <w:szCs w:val="28"/>
          <w:lang w:bidi="zh-CN"/>
        </w:rPr>
        <w:t>SOx</w:t>
      </w:r>
      <w:r>
        <w:rPr>
          <w:rFonts w:cs="宋体" w:hint="eastAsia"/>
          <w:b w:val="0"/>
          <w:bCs w:val="0"/>
          <w:kern w:val="2"/>
          <w:szCs w:val="28"/>
          <w:lang w:bidi="zh-CN"/>
        </w:rPr>
        <w:t>）、金属及其化合物、二噁英等。焚烧炉设置二燃室，温度上升到</w:t>
      </w:r>
      <w:r>
        <w:rPr>
          <w:rFonts w:cs="宋体" w:hint="eastAsia"/>
          <w:b w:val="0"/>
          <w:bCs w:val="0"/>
          <w:kern w:val="2"/>
          <w:szCs w:val="28"/>
          <w:lang w:bidi="zh-CN"/>
        </w:rPr>
        <w:t xml:space="preserve"> 1100</w:t>
      </w:r>
      <w:r>
        <w:rPr>
          <w:rFonts w:cs="宋体" w:hint="eastAsia"/>
          <w:b w:val="0"/>
          <w:bCs w:val="0"/>
          <w:kern w:val="2"/>
          <w:szCs w:val="28"/>
          <w:lang w:bidi="zh-CN"/>
        </w:rPr>
        <w:t>℃以上，停留时间大于</w:t>
      </w:r>
      <w:r>
        <w:rPr>
          <w:rFonts w:cs="宋体" w:hint="eastAsia"/>
          <w:b w:val="0"/>
          <w:bCs w:val="0"/>
          <w:kern w:val="2"/>
          <w:szCs w:val="28"/>
          <w:lang w:bidi="zh-CN"/>
        </w:rPr>
        <w:t>2s</w:t>
      </w:r>
      <w:r>
        <w:rPr>
          <w:rFonts w:cs="宋体" w:hint="eastAsia"/>
          <w:b w:val="0"/>
          <w:bCs w:val="0"/>
          <w:kern w:val="2"/>
          <w:szCs w:val="28"/>
          <w:lang w:bidi="zh-CN"/>
        </w:rPr>
        <w:t>，烟气经过余热锅炉后温度由原来的</w:t>
      </w:r>
      <w:r>
        <w:rPr>
          <w:rFonts w:cs="宋体" w:hint="eastAsia"/>
          <w:b w:val="0"/>
          <w:bCs w:val="0"/>
          <w:kern w:val="2"/>
          <w:szCs w:val="28"/>
          <w:lang w:bidi="zh-CN"/>
        </w:rPr>
        <w:t>1100</w:t>
      </w:r>
      <w:r>
        <w:rPr>
          <w:rFonts w:cs="宋体" w:hint="eastAsia"/>
          <w:b w:val="0"/>
          <w:bCs w:val="0"/>
          <w:kern w:val="2"/>
          <w:szCs w:val="28"/>
          <w:lang w:bidi="zh-CN"/>
        </w:rPr>
        <w:t>℃以上降至</w:t>
      </w:r>
      <w:r>
        <w:rPr>
          <w:rFonts w:cs="宋体" w:hint="eastAsia"/>
          <w:b w:val="0"/>
          <w:bCs w:val="0"/>
          <w:kern w:val="2"/>
          <w:szCs w:val="28"/>
          <w:lang w:bidi="zh-CN"/>
        </w:rPr>
        <w:t xml:space="preserve"> 550</w:t>
      </w:r>
      <w:r>
        <w:rPr>
          <w:rFonts w:cs="宋体" w:hint="eastAsia"/>
          <w:b w:val="0"/>
          <w:bCs w:val="0"/>
          <w:kern w:val="2"/>
          <w:szCs w:val="28"/>
          <w:lang w:bidi="zh-CN"/>
        </w:rPr>
        <w:t>℃左右进入急冷塔温度骤冷至</w:t>
      </w:r>
      <w:r>
        <w:rPr>
          <w:rFonts w:cs="宋体" w:hint="eastAsia"/>
          <w:b w:val="0"/>
          <w:bCs w:val="0"/>
          <w:kern w:val="2"/>
          <w:szCs w:val="28"/>
          <w:lang w:bidi="zh-CN"/>
        </w:rPr>
        <w:t>200</w:t>
      </w:r>
      <w:r>
        <w:rPr>
          <w:rFonts w:cs="宋体" w:hint="eastAsia"/>
          <w:b w:val="0"/>
          <w:bCs w:val="0"/>
          <w:kern w:val="2"/>
          <w:szCs w:val="28"/>
          <w:lang w:bidi="zh-CN"/>
        </w:rPr>
        <w:t>℃以下，减少二噁英再生成。经过急冷后的烟气从脱酸塔底部进入，并喷入石灰粉及干活性炭粉，以去除烟气中的二噁英和重金属等污染物。然后烟气通过布袋除尘后进入洗涤塔，洗涤塔后设置烟气再热器，通过换热装置将烟气升温至</w:t>
      </w:r>
      <w:r>
        <w:rPr>
          <w:rFonts w:cs="宋体" w:hint="eastAsia"/>
          <w:b w:val="0"/>
          <w:bCs w:val="0"/>
          <w:kern w:val="2"/>
          <w:szCs w:val="28"/>
          <w:lang w:bidi="zh-CN"/>
        </w:rPr>
        <w:t xml:space="preserve"> 100</w:t>
      </w:r>
      <w:r>
        <w:rPr>
          <w:rFonts w:cs="宋体" w:hint="eastAsia"/>
          <w:b w:val="0"/>
          <w:bCs w:val="0"/>
          <w:kern w:val="2"/>
          <w:szCs w:val="28"/>
          <w:lang w:bidi="zh-CN"/>
        </w:rPr>
        <w:t>℃以上后通过引风机送由</w:t>
      </w:r>
      <w:r>
        <w:rPr>
          <w:rFonts w:cs="宋体" w:hint="eastAsia"/>
          <w:b w:val="0"/>
          <w:bCs w:val="0"/>
          <w:kern w:val="2"/>
          <w:szCs w:val="28"/>
          <w:lang w:bidi="zh-CN"/>
        </w:rPr>
        <w:t>50</w:t>
      </w:r>
      <w:r>
        <w:rPr>
          <w:rFonts w:cs="宋体" w:hint="eastAsia"/>
          <w:b w:val="0"/>
          <w:bCs w:val="0"/>
          <w:kern w:val="2"/>
          <w:szCs w:val="28"/>
          <w:lang w:bidi="zh-CN"/>
        </w:rPr>
        <w:t>米高排气筒排放。</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4#</w:t>
      </w:r>
      <w:r>
        <w:rPr>
          <w:rFonts w:cs="宋体" w:hint="eastAsia"/>
          <w:b w:val="0"/>
          <w:bCs w:val="0"/>
          <w:kern w:val="2"/>
          <w:szCs w:val="28"/>
          <w:lang w:bidi="zh-CN"/>
        </w:rPr>
        <w:t>、</w:t>
      </w:r>
      <w:r>
        <w:rPr>
          <w:rFonts w:cs="宋体" w:hint="eastAsia"/>
          <w:b w:val="0"/>
          <w:bCs w:val="0"/>
          <w:kern w:val="2"/>
          <w:szCs w:val="28"/>
          <w:lang w:bidi="zh-CN"/>
        </w:rPr>
        <w:t>5#</w:t>
      </w:r>
      <w:r>
        <w:rPr>
          <w:rFonts w:cs="宋体" w:hint="eastAsia"/>
          <w:b w:val="0"/>
          <w:bCs w:val="0"/>
          <w:kern w:val="2"/>
          <w:szCs w:val="28"/>
          <w:lang w:bidi="zh-CN"/>
        </w:rPr>
        <w:t>危废储存库储存过程中产生的废气（</w:t>
      </w:r>
      <w:r>
        <w:rPr>
          <w:rFonts w:cs="宋体" w:hint="eastAsia"/>
          <w:b w:val="0"/>
          <w:bCs w:val="0"/>
          <w:kern w:val="2"/>
          <w:szCs w:val="28"/>
          <w:lang w:bidi="zh-CN"/>
        </w:rPr>
        <w:t>HCl</w:t>
      </w:r>
      <w:r>
        <w:rPr>
          <w:rFonts w:cs="宋体" w:hint="eastAsia"/>
          <w:b w:val="0"/>
          <w:bCs w:val="0"/>
          <w:kern w:val="2"/>
          <w:szCs w:val="28"/>
          <w:lang w:bidi="zh-CN"/>
        </w:rPr>
        <w:t>、非甲烷总烃、</w:t>
      </w:r>
      <w:r>
        <w:rPr>
          <w:rFonts w:cs="宋体" w:hint="eastAsia"/>
          <w:b w:val="0"/>
          <w:bCs w:val="0"/>
          <w:kern w:val="2"/>
          <w:szCs w:val="28"/>
          <w:lang w:bidi="zh-CN"/>
        </w:rPr>
        <w:t>NH</w:t>
      </w:r>
      <w:r>
        <w:rPr>
          <w:rFonts w:cs="宋体" w:hint="eastAsia"/>
          <w:b w:val="0"/>
          <w:bCs w:val="0"/>
          <w:kern w:val="2"/>
          <w:szCs w:val="28"/>
          <w:vertAlign w:val="subscript"/>
          <w:lang w:bidi="zh-CN"/>
        </w:rPr>
        <w:t>3</w:t>
      </w:r>
      <w:r>
        <w:rPr>
          <w:rFonts w:cs="宋体" w:hint="eastAsia"/>
          <w:b w:val="0"/>
          <w:bCs w:val="0"/>
          <w:kern w:val="2"/>
          <w:szCs w:val="28"/>
          <w:lang w:bidi="zh-CN"/>
        </w:rPr>
        <w:t>、</w:t>
      </w:r>
      <w:r>
        <w:rPr>
          <w:rFonts w:cs="宋体" w:hint="eastAsia"/>
          <w:b w:val="0"/>
          <w:bCs w:val="0"/>
          <w:kern w:val="2"/>
          <w:szCs w:val="28"/>
          <w:lang w:bidi="zh-CN"/>
        </w:rPr>
        <w:t>H</w:t>
      </w:r>
      <w:r>
        <w:rPr>
          <w:rFonts w:cs="宋体" w:hint="eastAsia"/>
          <w:b w:val="0"/>
          <w:bCs w:val="0"/>
          <w:kern w:val="2"/>
          <w:szCs w:val="28"/>
          <w:vertAlign w:val="subscript"/>
          <w:lang w:bidi="zh-CN"/>
        </w:rPr>
        <w:t>2</w:t>
      </w:r>
      <w:r>
        <w:rPr>
          <w:rFonts w:cs="宋体" w:hint="eastAsia"/>
          <w:b w:val="0"/>
          <w:bCs w:val="0"/>
          <w:kern w:val="2"/>
          <w:szCs w:val="28"/>
          <w:lang w:bidi="zh-CN"/>
        </w:rPr>
        <w:t>S</w:t>
      </w:r>
      <w:r>
        <w:rPr>
          <w:rFonts w:cs="宋体" w:hint="eastAsia"/>
          <w:b w:val="0"/>
          <w:bCs w:val="0"/>
          <w:kern w:val="2"/>
          <w:szCs w:val="28"/>
          <w:lang w:bidi="zh-CN"/>
        </w:rPr>
        <w:t>）均采取封闭式结构，采用负压收集</w:t>
      </w:r>
      <w:r>
        <w:rPr>
          <w:rFonts w:cs="宋体" w:hint="eastAsia"/>
          <w:b w:val="0"/>
          <w:bCs w:val="0"/>
          <w:kern w:val="2"/>
          <w:szCs w:val="28"/>
          <w:lang w:bidi="zh-CN"/>
        </w:rPr>
        <w:t>+</w:t>
      </w:r>
      <w:r>
        <w:rPr>
          <w:rFonts w:cs="宋体" w:hint="eastAsia"/>
          <w:b w:val="0"/>
          <w:bCs w:val="0"/>
          <w:kern w:val="2"/>
          <w:szCs w:val="28"/>
          <w:lang w:bidi="zh-CN"/>
        </w:rPr>
        <w:t>活性炭吸附方式处理废气，之后经同一根</w:t>
      </w:r>
      <w:r>
        <w:rPr>
          <w:rFonts w:cs="宋体" w:hint="eastAsia"/>
          <w:b w:val="0"/>
          <w:bCs w:val="0"/>
          <w:kern w:val="2"/>
          <w:szCs w:val="28"/>
          <w:lang w:bidi="zh-CN"/>
        </w:rPr>
        <w:t>20m</w:t>
      </w:r>
      <w:r>
        <w:rPr>
          <w:rFonts w:cs="宋体" w:hint="eastAsia"/>
          <w:b w:val="0"/>
          <w:bCs w:val="0"/>
          <w:kern w:val="2"/>
          <w:szCs w:val="28"/>
          <w:lang w:bidi="zh-CN"/>
        </w:rPr>
        <w:t>高排气筒高空排放。</w:t>
      </w:r>
      <w:r>
        <w:rPr>
          <w:rFonts w:cs="宋体" w:hint="eastAsia"/>
          <w:b w:val="0"/>
          <w:bCs w:val="0"/>
          <w:kern w:val="2"/>
          <w:szCs w:val="28"/>
          <w:lang w:bidi="zh-CN"/>
        </w:rPr>
        <w:t>9#</w:t>
      </w:r>
      <w:r>
        <w:rPr>
          <w:rFonts w:cs="宋体" w:hint="eastAsia"/>
          <w:b w:val="0"/>
          <w:bCs w:val="0"/>
          <w:kern w:val="2"/>
          <w:szCs w:val="28"/>
          <w:lang w:bidi="zh-CN"/>
        </w:rPr>
        <w:t>危险废物储存库同样采取封闭式结构，用负压收集</w:t>
      </w:r>
      <w:r>
        <w:rPr>
          <w:rFonts w:cs="宋体" w:hint="eastAsia"/>
          <w:b w:val="0"/>
          <w:bCs w:val="0"/>
          <w:kern w:val="2"/>
          <w:szCs w:val="28"/>
          <w:lang w:bidi="zh-CN"/>
        </w:rPr>
        <w:t>+</w:t>
      </w:r>
      <w:r>
        <w:rPr>
          <w:rFonts w:cs="宋体" w:hint="eastAsia"/>
          <w:b w:val="0"/>
          <w:bCs w:val="0"/>
          <w:kern w:val="2"/>
          <w:szCs w:val="28"/>
          <w:lang w:bidi="zh-CN"/>
        </w:rPr>
        <w:t>活性炭吸附方式处理废气，之后经</w:t>
      </w:r>
      <w:r>
        <w:rPr>
          <w:rFonts w:cs="宋体" w:hint="eastAsia"/>
          <w:b w:val="0"/>
          <w:bCs w:val="0"/>
          <w:kern w:val="2"/>
          <w:szCs w:val="28"/>
          <w:lang w:bidi="zh-CN"/>
        </w:rPr>
        <w:t>20m</w:t>
      </w:r>
      <w:r>
        <w:rPr>
          <w:rFonts w:cs="宋体" w:hint="eastAsia"/>
          <w:b w:val="0"/>
          <w:bCs w:val="0"/>
          <w:kern w:val="2"/>
          <w:szCs w:val="28"/>
          <w:lang w:bidi="zh-CN"/>
        </w:rPr>
        <w:t>高排气筒排放。</w:t>
      </w:r>
    </w:p>
    <w:p w:rsidR="002E0378" w:rsidRDefault="005C380A">
      <w:pPr>
        <w:spacing w:line="360" w:lineRule="auto"/>
        <w:rPr>
          <w:rFonts w:ascii="Times New Roman" w:hAnsi="Times New Roman" w:cs="宋体"/>
          <w:sz w:val="24"/>
          <w:szCs w:val="28"/>
          <w:lang w:bidi="zh-CN"/>
        </w:rPr>
      </w:pPr>
      <w:r>
        <w:rPr>
          <w:rFonts w:ascii="Times New Roman" w:hAnsi="Times New Roman" w:cs="宋体" w:hint="eastAsia"/>
          <w:sz w:val="24"/>
          <w:szCs w:val="28"/>
          <w:lang w:bidi="zh-CN"/>
        </w:rPr>
        <w:t xml:space="preserve"> </w:t>
      </w:r>
      <w:r>
        <w:rPr>
          <w:rFonts w:ascii="Times New Roman" w:hAnsi="Times New Roman" w:cs="宋体" w:hint="eastAsia"/>
          <w:sz w:val="24"/>
          <w:szCs w:val="28"/>
          <w:lang w:bidi="zh-CN"/>
        </w:rPr>
        <w:t>污水处理站采取了封闭式结构，恶臭气体经收集、活性炭吸附处理后经</w:t>
      </w:r>
      <w:r>
        <w:rPr>
          <w:rFonts w:ascii="Times New Roman" w:hAnsi="Times New Roman" w:cs="宋体" w:hint="eastAsia"/>
          <w:sz w:val="24"/>
          <w:szCs w:val="28"/>
          <w:lang w:bidi="zh-CN"/>
        </w:rPr>
        <w:t xml:space="preserve">15m </w:t>
      </w:r>
    </w:p>
    <w:p w:rsidR="002E0378" w:rsidRDefault="005C380A">
      <w:pPr>
        <w:spacing w:line="360" w:lineRule="auto"/>
        <w:jc w:val="both"/>
        <w:rPr>
          <w:rFonts w:ascii="Times New Roman" w:hAnsi="Times New Roman" w:cs="宋体"/>
          <w:sz w:val="24"/>
          <w:szCs w:val="28"/>
          <w:lang w:bidi="zh-CN"/>
        </w:rPr>
      </w:pPr>
      <w:r>
        <w:rPr>
          <w:rFonts w:ascii="Times New Roman" w:hAnsi="Times New Roman" w:cs="宋体" w:hint="eastAsia"/>
          <w:sz w:val="24"/>
          <w:szCs w:val="28"/>
          <w:lang w:bidi="zh-CN"/>
        </w:rPr>
        <w:t>高排气筒高空排放。</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 xml:space="preserve">2 </w:t>
      </w:r>
      <w:r>
        <w:rPr>
          <w:rFonts w:cs="宋体" w:hint="eastAsia"/>
          <w:b w:val="0"/>
          <w:bCs w:val="0"/>
          <w:kern w:val="2"/>
          <w:szCs w:val="28"/>
          <w:lang w:bidi="zh-CN"/>
        </w:rPr>
        <w:t>废水</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本公司废水主要包括物</w:t>
      </w:r>
      <w:r>
        <w:rPr>
          <w:rFonts w:cs="宋体" w:hint="eastAsia"/>
          <w:b w:val="0"/>
          <w:bCs w:val="0"/>
          <w:kern w:val="2"/>
          <w:szCs w:val="28"/>
          <w:lang w:bidi="zh-CN"/>
        </w:rPr>
        <w:t>/</w:t>
      </w:r>
      <w:r>
        <w:rPr>
          <w:rFonts w:cs="宋体" w:hint="eastAsia"/>
          <w:b w:val="0"/>
          <w:bCs w:val="0"/>
          <w:kern w:val="2"/>
          <w:szCs w:val="28"/>
          <w:lang w:bidi="zh-CN"/>
        </w:rPr>
        <w:t>化车间废水、厂区雨水、填埋场渗滤液、车间地面冲洗、化验污水，以及回转窑软水车间和余热锅炉排水、回转窑湿法脱酸塔废水及喷淋消毒间废水等。生产厂区雨水通过雨水管网收集后进入雨水收集池，连同填埋渗滤液、物</w:t>
      </w:r>
      <w:r>
        <w:rPr>
          <w:rFonts w:cs="宋体" w:hint="eastAsia"/>
          <w:b w:val="0"/>
          <w:bCs w:val="0"/>
          <w:kern w:val="2"/>
          <w:szCs w:val="28"/>
          <w:lang w:bidi="zh-CN"/>
        </w:rPr>
        <w:t>/</w:t>
      </w:r>
      <w:r>
        <w:rPr>
          <w:rFonts w:cs="宋体" w:hint="eastAsia"/>
          <w:b w:val="0"/>
          <w:bCs w:val="0"/>
          <w:kern w:val="2"/>
          <w:szCs w:val="28"/>
          <w:lang w:bidi="zh-CN"/>
        </w:rPr>
        <w:lastRenderedPageBreak/>
        <w:t>化车间预处理后的物化尾水以及其他生产污水等一并收集于调节池进行均质，再经提升泵送往混凝沉淀池，在混凝沉淀池中加入氢氧化钠溶液调节</w:t>
      </w:r>
      <w:r>
        <w:rPr>
          <w:rFonts w:cs="宋体" w:hint="eastAsia"/>
          <w:b w:val="0"/>
          <w:bCs w:val="0"/>
          <w:kern w:val="2"/>
          <w:szCs w:val="28"/>
          <w:lang w:bidi="zh-CN"/>
        </w:rPr>
        <w:t>pH</w:t>
      </w:r>
      <w:r>
        <w:rPr>
          <w:rFonts w:cs="宋体" w:hint="eastAsia"/>
          <w:b w:val="0"/>
          <w:bCs w:val="0"/>
          <w:kern w:val="2"/>
          <w:szCs w:val="28"/>
          <w:lang w:bidi="zh-CN"/>
        </w:rPr>
        <w:t>，然后依次加入聚合氯化铝（</w:t>
      </w:r>
      <w:r>
        <w:rPr>
          <w:rFonts w:cs="宋体" w:hint="eastAsia"/>
          <w:b w:val="0"/>
          <w:bCs w:val="0"/>
          <w:kern w:val="2"/>
          <w:szCs w:val="28"/>
          <w:lang w:bidi="zh-CN"/>
        </w:rPr>
        <w:t>PAC</w:t>
      </w:r>
      <w:r>
        <w:rPr>
          <w:rFonts w:cs="宋体" w:hint="eastAsia"/>
          <w:b w:val="0"/>
          <w:bCs w:val="0"/>
          <w:kern w:val="2"/>
          <w:szCs w:val="28"/>
          <w:lang w:bidi="zh-CN"/>
        </w:rPr>
        <w:t>）和聚丙烯酰胺（</w:t>
      </w:r>
      <w:r>
        <w:rPr>
          <w:rFonts w:cs="宋体" w:hint="eastAsia"/>
          <w:b w:val="0"/>
          <w:bCs w:val="0"/>
          <w:kern w:val="2"/>
          <w:szCs w:val="28"/>
          <w:lang w:bidi="zh-CN"/>
        </w:rPr>
        <w:t>PAM</w:t>
      </w:r>
      <w:r>
        <w:rPr>
          <w:rFonts w:cs="宋体" w:hint="eastAsia"/>
          <w:b w:val="0"/>
          <w:bCs w:val="0"/>
          <w:kern w:val="2"/>
          <w:szCs w:val="28"/>
          <w:lang w:bidi="zh-CN"/>
        </w:rPr>
        <w:t>），废水经沉</w:t>
      </w:r>
      <w:r>
        <w:rPr>
          <w:rFonts w:cs="宋体" w:hint="eastAsia"/>
          <w:b w:val="0"/>
          <w:bCs w:val="0"/>
          <w:kern w:val="2"/>
          <w:szCs w:val="28"/>
          <w:lang w:bidi="zh-CN"/>
        </w:rPr>
        <w:t xml:space="preserve"> </w:t>
      </w:r>
      <w:r>
        <w:rPr>
          <w:rFonts w:cs="宋体" w:hint="eastAsia"/>
          <w:b w:val="0"/>
          <w:bCs w:val="0"/>
          <w:kern w:val="2"/>
          <w:szCs w:val="28"/>
          <w:lang w:bidi="zh-CN"/>
        </w:rPr>
        <w:t>淀后加入二氧化氯水溶液进行消毒，消毒后废水排入缓冲池，检验废水符合接管</w:t>
      </w:r>
      <w:r>
        <w:rPr>
          <w:rFonts w:cs="宋体" w:hint="eastAsia"/>
          <w:b w:val="0"/>
          <w:bCs w:val="0"/>
          <w:kern w:val="2"/>
          <w:szCs w:val="28"/>
          <w:lang w:bidi="zh-CN"/>
        </w:rPr>
        <w:t xml:space="preserve"> </w:t>
      </w:r>
      <w:r>
        <w:rPr>
          <w:rFonts w:cs="宋体" w:hint="eastAsia"/>
          <w:b w:val="0"/>
          <w:bCs w:val="0"/>
          <w:kern w:val="2"/>
          <w:szCs w:val="28"/>
          <w:lang w:bidi="zh-CN"/>
        </w:rPr>
        <w:t>标准后经管网排入吉化污水处理厂做进一步处理；检验不合格废水打入调节池重</w:t>
      </w:r>
      <w:r>
        <w:rPr>
          <w:rFonts w:cs="宋体" w:hint="eastAsia"/>
          <w:b w:val="0"/>
          <w:bCs w:val="0"/>
          <w:kern w:val="2"/>
          <w:szCs w:val="28"/>
          <w:lang w:bidi="zh-CN"/>
        </w:rPr>
        <w:t xml:space="preserve"> </w:t>
      </w:r>
      <w:r>
        <w:rPr>
          <w:rFonts w:cs="宋体" w:hint="eastAsia"/>
          <w:b w:val="0"/>
          <w:bCs w:val="0"/>
          <w:kern w:val="2"/>
          <w:szCs w:val="28"/>
          <w:lang w:bidi="zh-CN"/>
        </w:rPr>
        <w:t>新处理。而产生的污泥通过离心脱水机脱水后送至稳定化</w:t>
      </w:r>
      <w:r>
        <w:rPr>
          <w:rFonts w:cs="宋体" w:hint="eastAsia"/>
          <w:b w:val="0"/>
          <w:bCs w:val="0"/>
          <w:kern w:val="2"/>
          <w:szCs w:val="28"/>
          <w:lang w:bidi="zh-CN"/>
        </w:rPr>
        <w:t>/</w:t>
      </w:r>
      <w:r>
        <w:rPr>
          <w:rFonts w:cs="宋体" w:hint="eastAsia"/>
          <w:b w:val="0"/>
          <w:bCs w:val="0"/>
          <w:kern w:val="2"/>
          <w:szCs w:val="28"/>
          <w:lang w:bidi="zh-CN"/>
        </w:rPr>
        <w:t>固化车间固化填埋处</w:t>
      </w:r>
      <w:r>
        <w:rPr>
          <w:rFonts w:cs="宋体" w:hint="eastAsia"/>
          <w:b w:val="0"/>
          <w:bCs w:val="0"/>
          <w:kern w:val="2"/>
          <w:szCs w:val="28"/>
          <w:lang w:bidi="zh-CN"/>
        </w:rPr>
        <w:t xml:space="preserve"> </w:t>
      </w:r>
      <w:r>
        <w:rPr>
          <w:rFonts w:cs="宋体" w:hint="eastAsia"/>
          <w:b w:val="0"/>
          <w:bCs w:val="0"/>
          <w:kern w:val="2"/>
          <w:szCs w:val="28"/>
          <w:lang w:bidi="zh-CN"/>
        </w:rPr>
        <w:t>理。</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 xml:space="preserve">3 </w:t>
      </w:r>
      <w:r>
        <w:rPr>
          <w:rFonts w:cs="宋体" w:hint="eastAsia"/>
          <w:b w:val="0"/>
          <w:bCs w:val="0"/>
          <w:kern w:val="2"/>
          <w:szCs w:val="28"/>
          <w:lang w:bidi="zh-CN"/>
        </w:rPr>
        <w:t>噪声</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设备产生的噪声对区域声环境有一定影响，但厂界处环境噪声均可满足标准要求。因此只要对建设项目主要噪声源采取良好的隔声、消音、减震等措施后，厂内噪声源对厂界外声环境质量现状影响不大。</w:t>
      </w:r>
    </w:p>
    <w:p w:rsidR="002E0378" w:rsidRDefault="005C380A">
      <w:pPr>
        <w:pStyle w:val="3"/>
        <w:ind w:firstLineChars="200" w:firstLine="480"/>
        <w:rPr>
          <w:rFonts w:cs="宋体"/>
          <w:b w:val="0"/>
          <w:bCs w:val="0"/>
          <w:kern w:val="2"/>
          <w:szCs w:val="28"/>
          <w:lang w:bidi="zh-CN"/>
        </w:rPr>
      </w:pPr>
      <w:r>
        <w:rPr>
          <w:rFonts w:cs="宋体" w:hint="eastAsia"/>
          <w:b w:val="0"/>
          <w:bCs w:val="0"/>
          <w:kern w:val="2"/>
          <w:szCs w:val="28"/>
          <w:lang w:bidi="zh-CN"/>
        </w:rPr>
        <w:t xml:space="preserve">4 </w:t>
      </w:r>
      <w:r>
        <w:rPr>
          <w:rFonts w:cs="宋体" w:hint="eastAsia"/>
          <w:b w:val="0"/>
          <w:bCs w:val="0"/>
          <w:kern w:val="2"/>
          <w:szCs w:val="28"/>
          <w:lang w:bidi="zh-CN"/>
        </w:rPr>
        <w:t>固体废物</w:t>
      </w:r>
    </w:p>
    <w:p w:rsidR="002E0378" w:rsidRDefault="005C380A">
      <w:pPr>
        <w:spacing w:line="360" w:lineRule="auto"/>
        <w:ind w:firstLineChars="200" w:firstLine="480"/>
        <w:jc w:val="left"/>
        <w:rPr>
          <w:rFonts w:ascii="Times New Roman" w:hAnsi="Times New Roman" w:cs="宋体"/>
          <w:sz w:val="24"/>
          <w:szCs w:val="28"/>
          <w:lang w:bidi="zh-CN"/>
        </w:rPr>
      </w:pPr>
      <w:r>
        <w:rPr>
          <w:rFonts w:ascii="Times New Roman" w:hAnsi="Times New Roman" w:cs="宋体" w:hint="eastAsia"/>
          <w:sz w:val="24"/>
          <w:szCs w:val="28"/>
          <w:lang w:bidi="zh-CN"/>
        </w:rPr>
        <w:t>公司固体废物主要是危险废物焚烧车间产生的炉渣、飞灰依托厂区现有安</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全填埋场安全填埋；废气处理产生的废活性炭、软化水车间产生的废树脂、设备</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检修过程产生的废机油及化验室化验产生的废液，利用本项目焚烧处置；废包装</w:t>
      </w:r>
      <w:r>
        <w:rPr>
          <w:rFonts w:ascii="Times New Roman" w:hAnsi="Times New Roman" w:cs="宋体" w:hint="eastAsia"/>
          <w:sz w:val="24"/>
          <w:szCs w:val="28"/>
          <w:lang w:bidi="zh-CN"/>
        </w:rPr>
        <w:t xml:space="preserve"> </w:t>
      </w:r>
    </w:p>
    <w:p w:rsidR="002E0378" w:rsidRDefault="005C380A">
      <w:pPr>
        <w:spacing w:line="360" w:lineRule="auto"/>
        <w:jc w:val="left"/>
        <w:rPr>
          <w:rFonts w:ascii="Times New Roman" w:hAnsi="Times New Roman" w:cs="宋体"/>
          <w:sz w:val="24"/>
          <w:szCs w:val="28"/>
          <w:lang w:bidi="zh-CN"/>
        </w:rPr>
      </w:pPr>
      <w:r>
        <w:rPr>
          <w:rFonts w:ascii="Times New Roman" w:hAnsi="Times New Roman" w:cs="宋体" w:hint="eastAsia"/>
          <w:sz w:val="24"/>
          <w:szCs w:val="28"/>
          <w:lang w:bidi="zh-CN"/>
        </w:rPr>
        <w:t>袋送往焚烧车间焚烧处理。</w:t>
      </w:r>
    </w:p>
    <w:p w:rsidR="002E0378" w:rsidRDefault="005C380A">
      <w:pPr>
        <w:pStyle w:val="a4"/>
        <w:spacing w:line="360" w:lineRule="auto"/>
        <w:ind w:firstLine="480"/>
        <w:rPr>
          <w:lang w:val="en-US"/>
        </w:rPr>
      </w:pPr>
      <w:r>
        <w:rPr>
          <w:rFonts w:hint="eastAsia"/>
          <w:lang w:val="en-US"/>
        </w:rPr>
        <w:t xml:space="preserve"> </w:t>
      </w:r>
    </w:p>
    <w:p w:rsidR="002E0378" w:rsidRDefault="005C380A">
      <w:pPr>
        <w:pStyle w:val="5"/>
        <w:numPr>
          <w:ilvl w:val="0"/>
          <w:numId w:val="0"/>
        </w:numPr>
        <w:tabs>
          <w:tab w:val="clear" w:pos="2040"/>
          <w:tab w:val="left" w:pos="0"/>
        </w:tabs>
        <w:jc w:val="both"/>
        <w:sectPr w:rsidR="002E0378">
          <w:pgSz w:w="11906" w:h="16838"/>
          <w:pgMar w:top="1440" w:right="1463" w:bottom="1440" w:left="1463" w:header="851" w:footer="992" w:gutter="0"/>
          <w:cols w:space="720"/>
          <w:docGrid w:type="lines" w:linePitch="312"/>
        </w:sectPr>
      </w:pPr>
      <w:r>
        <w:rPr>
          <w:rFonts w:hint="eastAsia"/>
        </w:rPr>
        <w:t xml:space="preserve"> </w:t>
      </w:r>
    </w:p>
    <w:p w:rsidR="002E0378" w:rsidRDefault="005C380A">
      <w:pPr>
        <w:pStyle w:val="2"/>
        <w:rPr>
          <w:bCs/>
          <w:szCs w:val="28"/>
        </w:rPr>
      </w:pPr>
      <w:bookmarkStart w:id="96" w:name="_Toc466"/>
      <w:r>
        <w:rPr>
          <w:rFonts w:hint="eastAsia"/>
        </w:rPr>
        <w:lastRenderedPageBreak/>
        <w:t>附件</w:t>
      </w:r>
      <w:r>
        <w:rPr>
          <w:rFonts w:hint="eastAsia"/>
        </w:rPr>
        <w:t xml:space="preserve">6 </w:t>
      </w:r>
      <w:r>
        <w:rPr>
          <w:rFonts w:hint="eastAsia"/>
        </w:rPr>
        <w:t>重点场所清单</w:t>
      </w:r>
      <w:bookmarkEnd w:id="96"/>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780"/>
        <w:gridCol w:w="2123"/>
        <w:gridCol w:w="1816"/>
        <w:gridCol w:w="3237"/>
      </w:tblGrid>
      <w:tr w:rsidR="002E0378">
        <w:trPr>
          <w:trHeight w:val="309"/>
        </w:trPr>
        <w:tc>
          <w:tcPr>
            <w:tcW w:w="330"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序号</w:t>
            </w:r>
          </w:p>
        </w:tc>
        <w:tc>
          <w:tcPr>
            <w:tcW w:w="457"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编号</w:t>
            </w:r>
          </w:p>
        </w:tc>
        <w:tc>
          <w:tcPr>
            <w:tcW w:w="1246"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重点单元名称</w:t>
            </w:r>
          </w:p>
        </w:tc>
        <w:tc>
          <w:tcPr>
            <w:tcW w:w="1066" w:type="pct"/>
            <w:vAlign w:val="center"/>
          </w:tcPr>
          <w:p w:rsidR="002E0378" w:rsidRDefault="005C380A">
            <w:pPr>
              <w:adjustRightInd w:val="0"/>
              <w:snapToGrid w:val="0"/>
              <w:rPr>
                <w:rFonts w:ascii="Times New Roman" w:hAnsi="Times New Roman"/>
                <w:b/>
                <w:kern w:val="0"/>
              </w:rPr>
            </w:pPr>
            <w:r>
              <w:rPr>
                <w:rFonts w:ascii="Times New Roman" w:hAnsi="Times New Roman"/>
                <w:b/>
                <w:kern w:val="0"/>
              </w:rPr>
              <w:t>功能区划分</w:t>
            </w:r>
          </w:p>
        </w:tc>
        <w:tc>
          <w:tcPr>
            <w:tcW w:w="1899" w:type="pct"/>
            <w:shd w:val="clear" w:color="auto" w:fill="auto"/>
            <w:vAlign w:val="center"/>
          </w:tcPr>
          <w:p w:rsidR="002E0378" w:rsidRDefault="005C380A">
            <w:pPr>
              <w:adjustRightInd w:val="0"/>
              <w:snapToGrid w:val="0"/>
              <w:rPr>
                <w:rFonts w:ascii="Times New Roman" w:hAnsi="Times New Roman"/>
                <w:b/>
                <w:kern w:val="0"/>
              </w:rPr>
            </w:pPr>
            <w:r>
              <w:rPr>
                <w:rFonts w:ascii="Times New Roman" w:hAnsi="Times New Roman"/>
                <w:b/>
                <w:kern w:val="0"/>
              </w:rPr>
              <w:t>识别依据</w:t>
            </w:r>
          </w:p>
        </w:tc>
      </w:tr>
      <w:tr w:rsidR="002E0378">
        <w:trPr>
          <w:trHeight w:val="949"/>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1</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A</w:t>
            </w:r>
          </w:p>
        </w:tc>
        <w:tc>
          <w:tcPr>
            <w:tcW w:w="1246" w:type="pct"/>
            <w:vAlign w:val="center"/>
          </w:tcPr>
          <w:p w:rsidR="002E0378" w:rsidRDefault="005C380A">
            <w:pPr>
              <w:adjustRightInd w:val="0"/>
              <w:snapToGrid w:val="0"/>
              <w:rPr>
                <w:rFonts w:ascii="Times New Roman" w:hAnsi="Times New Roman"/>
                <w:kern w:val="0"/>
              </w:rPr>
            </w:pPr>
            <w:r>
              <w:rPr>
                <w:rFonts w:ascii="Times New Roman" w:eastAsiaTheme="minorEastAsia" w:hAnsi="Times New Roman"/>
              </w:rPr>
              <w:t>填埋区</w:t>
            </w:r>
          </w:p>
        </w:tc>
        <w:tc>
          <w:tcPr>
            <w:tcW w:w="1066" w:type="pct"/>
            <w:vAlign w:val="center"/>
          </w:tcPr>
          <w:p w:rsidR="002E0378" w:rsidRDefault="005C380A">
            <w:pPr>
              <w:adjustRightInd w:val="0"/>
              <w:snapToGrid w:val="0"/>
              <w:rPr>
                <w:rFonts w:ascii="Times New Roman" w:hAnsi="Times New Roman"/>
              </w:rPr>
            </w:pPr>
            <w:r>
              <w:rPr>
                <w:rFonts w:ascii="Times New Roman" w:hAnsi="Times New Roman"/>
                <w:kern w:val="0"/>
              </w:rPr>
              <w:t>填埋区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此区域属于固体废物填埋区域，可能通过渗漏等对迁移到地下水及土壤中。</w:t>
            </w:r>
          </w:p>
        </w:tc>
      </w:tr>
      <w:tr w:rsidR="002E0378">
        <w:trPr>
          <w:trHeight w:val="195"/>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2</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B</w:t>
            </w:r>
          </w:p>
        </w:tc>
        <w:tc>
          <w:tcPr>
            <w:tcW w:w="1246" w:type="pct"/>
            <w:vAlign w:val="center"/>
          </w:tcPr>
          <w:p w:rsidR="002E0378" w:rsidRDefault="005C380A">
            <w:pPr>
              <w:adjustRightInd w:val="0"/>
              <w:snapToGrid w:val="0"/>
              <w:rPr>
                <w:rFonts w:ascii="Times New Roman" w:hAnsi="Times New Roman"/>
                <w:kern w:val="0"/>
              </w:rPr>
            </w:pPr>
            <w:r>
              <w:rPr>
                <w:rFonts w:ascii="Times New Roman" w:eastAsiaTheme="minorEastAsia" w:hAnsi="Times New Roman"/>
              </w:rPr>
              <w:t>物化、焚烧及贮存区</w:t>
            </w:r>
          </w:p>
        </w:tc>
        <w:tc>
          <w:tcPr>
            <w:tcW w:w="1066" w:type="pct"/>
            <w:vAlign w:val="center"/>
          </w:tcPr>
          <w:p w:rsidR="002E0378" w:rsidRDefault="005C380A">
            <w:pPr>
              <w:adjustRightInd w:val="0"/>
              <w:snapToGrid w:val="0"/>
              <w:rPr>
                <w:rFonts w:ascii="Times New Roman" w:hAnsi="Times New Roman"/>
              </w:rPr>
            </w:pPr>
            <w:r>
              <w:rPr>
                <w:rFonts w:ascii="Times New Roman" w:eastAsiaTheme="minorEastAsia" w:hAnsi="Times New Roman"/>
              </w:rPr>
              <w:t>物化、焚烧及贮存区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该区域危险废物存储、焚烧及物化等，可能通过生产中的跑冒滴漏迁移到地下水及土壤中。</w:t>
            </w:r>
          </w:p>
        </w:tc>
      </w:tr>
      <w:tr w:rsidR="002E0378">
        <w:trPr>
          <w:trHeight w:val="195"/>
        </w:trPr>
        <w:tc>
          <w:tcPr>
            <w:tcW w:w="330" w:type="pct"/>
            <w:vAlign w:val="center"/>
          </w:tcPr>
          <w:p w:rsidR="002E0378" w:rsidRDefault="005C380A">
            <w:pPr>
              <w:adjustRightInd w:val="0"/>
              <w:snapToGrid w:val="0"/>
              <w:rPr>
                <w:rFonts w:ascii="Times New Roman" w:hAnsi="Times New Roman"/>
                <w:kern w:val="0"/>
              </w:rPr>
            </w:pPr>
            <w:r>
              <w:rPr>
                <w:rFonts w:ascii="Times New Roman" w:hAnsi="Times New Roman"/>
                <w:kern w:val="0"/>
              </w:rPr>
              <w:t>3</w:t>
            </w:r>
          </w:p>
        </w:tc>
        <w:tc>
          <w:tcPr>
            <w:tcW w:w="457" w:type="pct"/>
            <w:vAlign w:val="center"/>
          </w:tcPr>
          <w:p w:rsidR="002E0378" w:rsidRDefault="005C380A">
            <w:pPr>
              <w:adjustRightInd w:val="0"/>
              <w:snapToGrid w:val="0"/>
              <w:rPr>
                <w:rFonts w:ascii="Times New Roman" w:hAnsi="Times New Roman"/>
                <w:kern w:val="0"/>
              </w:rPr>
            </w:pPr>
            <w:r>
              <w:rPr>
                <w:rFonts w:ascii="Times New Roman" w:hAnsi="Times New Roman"/>
                <w:kern w:val="0"/>
              </w:rPr>
              <w:t>C</w:t>
            </w:r>
          </w:p>
        </w:tc>
        <w:tc>
          <w:tcPr>
            <w:tcW w:w="1246" w:type="pct"/>
            <w:vAlign w:val="center"/>
          </w:tcPr>
          <w:p w:rsidR="002E0378" w:rsidRDefault="005C380A">
            <w:pPr>
              <w:adjustRightInd w:val="0"/>
              <w:snapToGrid w:val="0"/>
              <w:rPr>
                <w:rFonts w:ascii="Times New Roman" w:eastAsiaTheme="minorEastAsia" w:hAnsi="Times New Roman"/>
              </w:rPr>
            </w:pPr>
            <w:r>
              <w:rPr>
                <w:rFonts w:ascii="Times New Roman" w:eastAsiaTheme="minorEastAsia" w:hAnsi="Times New Roman"/>
              </w:rPr>
              <w:t>污水处理站</w:t>
            </w:r>
          </w:p>
        </w:tc>
        <w:tc>
          <w:tcPr>
            <w:tcW w:w="1066" w:type="pct"/>
            <w:vAlign w:val="center"/>
          </w:tcPr>
          <w:p w:rsidR="002E0378" w:rsidRDefault="005C380A">
            <w:pPr>
              <w:adjustRightInd w:val="0"/>
              <w:snapToGrid w:val="0"/>
              <w:rPr>
                <w:rFonts w:ascii="Times New Roman" w:eastAsiaTheme="minorEastAsia" w:hAnsi="Times New Roman"/>
              </w:rPr>
            </w:pPr>
            <w:r>
              <w:rPr>
                <w:rFonts w:ascii="Times New Roman" w:eastAsiaTheme="minorEastAsia" w:hAnsi="Times New Roman"/>
              </w:rPr>
              <w:t>污水处理区</w:t>
            </w:r>
          </w:p>
        </w:tc>
        <w:tc>
          <w:tcPr>
            <w:tcW w:w="1899" w:type="pct"/>
            <w:shd w:val="clear" w:color="auto" w:fill="auto"/>
            <w:vAlign w:val="center"/>
          </w:tcPr>
          <w:p w:rsidR="002E0378" w:rsidRDefault="005C380A">
            <w:pPr>
              <w:adjustRightInd w:val="0"/>
              <w:snapToGrid w:val="0"/>
              <w:rPr>
                <w:rFonts w:ascii="Times New Roman" w:hAnsi="Times New Roman"/>
                <w:kern w:val="0"/>
              </w:rPr>
            </w:pPr>
            <w:r>
              <w:rPr>
                <w:rFonts w:ascii="Times New Roman" w:hAnsi="Times New Roman"/>
                <w:kern w:val="0"/>
              </w:rPr>
              <w:t>该区域涉及污水处理，可能通过生产中的跑冒滴漏迁移到地下水及土壤中。</w:t>
            </w:r>
          </w:p>
        </w:tc>
      </w:tr>
    </w:tbl>
    <w:p w:rsidR="002E0378" w:rsidRDefault="002E0378">
      <w:pPr>
        <w:pStyle w:val="5"/>
        <w:numPr>
          <w:ilvl w:val="0"/>
          <w:numId w:val="0"/>
        </w:numPr>
        <w:jc w:val="left"/>
        <w:rPr>
          <w:lang w:val="zh-CN" w:bidi="zh-CN"/>
        </w:rPr>
      </w:pPr>
    </w:p>
    <w:sectPr w:rsidR="002E0378">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3F73" w:rsidRDefault="00F43F73">
      <w:r>
        <w:separator/>
      </w:r>
    </w:p>
  </w:endnote>
  <w:endnote w:type="continuationSeparator" w:id="0">
    <w:p w:rsidR="00F43F73" w:rsidRDefault="00F43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华文细黑">
    <w:charset w:val="86"/>
    <w:family w:val="auto"/>
    <w:pitch w:val="default"/>
    <w:sig w:usb0="00000287" w:usb1="080F0000" w:usb2="00000000" w:usb3="00000000" w:csb0="0004009F" w:csb1="DFD70000"/>
  </w:font>
  <w:font w:name="楷体">
    <w:panose1 w:val="02010609060101010101"/>
    <w:charset w:val="86"/>
    <w:family w:val="modern"/>
    <w:pitch w:val="fixed"/>
    <w:sig w:usb0="800002BF" w:usb1="38CF7CFA" w:usb2="00000016" w:usb3="00000000" w:csb0="00040001" w:csb1="00000000"/>
  </w:font>
  <w:font w:name="华文楷体">
    <w:altName w:val="微软雅黑"/>
    <w:charset w:val="86"/>
    <w:family w:val="auto"/>
    <w:pitch w:val="default"/>
    <w:sig w:usb0="00000000" w:usb1="080F0000" w:usb2="00000000" w:usb3="00000000" w:csb0="0004009F" w:csb1="DFD70000"/>
  </w:font>
  <w:font w:name="TimesNewRomanPSMT">
    <w:altName w:val="Times New Roman"/>
    <w:charset w:val="00"/>
    <w:family w:val="auto"/>
    <w:pitch w:val="default"/>
    <w:sig w:usb0="00000000" w:usb1="00000000" w:usb2="00000000"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378" w:rsidRDefault="005C380A">
    <w:pPr>
      <w:tabs>
        <w:tab w:val="center" w:pos="4153"/>
        <w:tab w:val="right" w:pos="8306"/>
      </w:tabs>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2E0378" w:rsidRDefault="005C380A">
                          <w:pPr>
                            <w:tabs>
                              <w:tab w:val="center" w:pos="4153"/>
                              <w:tab w:val="right" w:pos="8306"/>
                            </w:tabs>
                          </w:pPr>
                          <w:r>
                            <w:fldChar w:fldCharType="begin"/>
                          </w:r>
                          <w:r>
                            <w:instrText xml:space="preserve"> PAGE  \* MERGEFORMAT </w:instrText>
                          </w:r>
                          <w:r>
                            <w:fldChar w:fldCharType="separate"/>
                          </w:r>
                          <w:r w:rsidR="00F74FB3">
                            <w:rPr>
                              <w:noProof/>
                            </w:rPr>
                            <w:t>IV</w:t>
                          </w:r>
                          <w: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2052" o:spid="_x0000_s1032"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" filled="f" stroked="f">
              <v:textbox style="mso-fit-shape-to-text:t" inset="0,0,0,0">
                <w:txbxContent>
                  <w:p w:rsidR="002E0378" w:rsidRDefault="005C380A">
                    <w:pPr>
                      <w:tabs>
                        <w:tab w:val="center" w:pos="4153"/>
                        <w:tab w:val="right" w:pos="8306"/>
                      </w:tabs>
                    </w:pPr>
                    <w:r>
                      <w:fldChar w:fldCharType="begin"/>
                    </w:r>
                    <w:r>
                      <w:instrText xml:space="preserve"> PAGE  \* MERGEFORMAT </w:instrText>
                    </w:r>
                    <w:r>
                      <w:fldChar w:fldCharType="separate"/>
                    </w:r>
                    <w:r w:rsidR="00F74FB3">
                      <w:rPr>
                        <w:noProof/>
                      </w:rPr>
                      <w:t>IV</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378" w:rsidRDefault="005C380A">
    <w:pPr>
      <w:tabs>
        <w:tab w:val="center" w:pos="4153"/>
        <w:tab w:val="right" w:pos="8306"/>
      </w:tabs>
    </w:pPr>
    <w:r>
      <w:rPr>
        <w:noProof/>
      </w:rPr>
      <mc:AlternateContent>
        <mc:Choice Requires="wps">
          <w:drawing>
            <wp:anchor distT="0" distB="0" distL="114300" distR="114300" simplePos="0" relativeHeight="251660288" behindDoc="0" locked="0" layoutInCell="1" allowOverlap="1" wp14:anchorId="6859F718" wp14:editId="5E694037">
              <wp:simplePos x="0" y="0"/>
              <wp:positionH relativeFrom="margin">
                <wp:align>center</wp:align>
              </wp:positionH>
              <wp:positionV relativeFrom="paragraph">
                <wp:posOffset>0</wp:posOffset>
              </wp:positionV>
              <wp:extent cx="1828800" cy="1828800"/>
              <wp:effectExtent l="0" t="0" r="0" b="0"/>
              <wp:wrapNone/>
              <wp:docPr id="127" name="文本框 20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2E0378" w:rsidRDefault="005C380A">
                          <w:pPr>
                            <w:tabs>
                              <w:tab w:val="center" w:pos="4153"/>
                              <w:tab w:val="right" w:pos="8306"/>
                            </w:tabs>
                          </w:pPr>
                          <w:r>
                            <w:fldChar w:fldCharType="begin"/>
                          </w:r>
                          <w:r>
                            <w:instrText xml:space="preserve"> PAGE  \* MERGEFORMAT </w:instrText>
                          </w:r>
                          <w:r>
                            <w:fldChar w:fldCharType="separate"/>
                          </w:r>
                          <w:r w:rsidR="00F74FB3">
                            <w:rPr>
                              <w:noProof/>
                            </w:rPr>
                            <w:t>1</w:t>
                          </w:r>
                          <w: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2055" o:spid="_x0000_s1033"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" filled="f" stroked="f">
              <v:textbox style="mso-fit-shape-to-text:t" inset="0,0,0,0">
                <w:txbxContent>
                  <w:p w:rsidR="002E0378" w:rsidRDefault="005C380A">
                    <w:pPr>
                      <w:tabs>
                        <w:tab w:val="center" w:pos="4153"/>
                        <w:tab w:val="right" w:pos="8306"/>
                      </w:tabs>
                    </w:pPr>
                    <w:r>
                      <w:fldChar w:fldCharType="begin"/>
                    </w:r>
                    <w:r>
                      <w:instrText xml:space="preserve"> PAGE  \* MERGEFORMAT </w:instrText>
                    </w:r>
                    <w:r>
                      <w:fldChar w:fldCharType="separate"/>
                    </w:r>
                    <w:r w:rsidR="00F74FB3">
                      <w:rPr>
                        <w:noProof/>
                      </w:rPr>
                      <w:t>1</w:t>
                    </w:r>
                    <w: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FB3" w:rsidRPr="00F74FB3" w:rsidRDefault="00F74FB3" w:rsidP="00F74FB3">
    <w:pPr>
      <w:pStyle w:val="a6"/>
      <w:jc w:val="center"/>
    </w:pPr>
    <w:r>
      <w:fldChar w:fldCharType="begin"/>
    </w:r>
    <w:r>
      <w:instrText>PAGE   \* MERGEFORMAT</w:instrText>
    </w:r>
    <w:r>
      <w:fldChar w:fldCharType="separate"/>
    </w:r>
    <w:r w:rsidRPr="00F74FB3">
      <w:rPr>
        <w:noProof/>
        <w:lang w:val="zh-CN"/>
      </w:rPr>
      <w:t>6</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378" w:rsidRPr="00F74FB3" w:rsidRDefault="00F74FB3" w:rsidP="00F74FB3">
    <w:pPr>
      <w:pStyle w:val="a6"/>
      <w:jc w:val="center"/>
    </w:pPr>
    <w:r>
      <w:fldChar w:fldCharType="begin"/>
    </w:r>
    <w:r>
      <w:instrText>PAGE   \* MERGEFORMAT</w:instrText>
    </w:r>
    <w:r>
      <w:fldChar w:fldCharType="separate"/>
    </w:r>
    <w:r w:rsidRPr="00F74FB3">
      <w:rPr>
        <w:noProof/>
        <w:lang w:val="zh-CN"/>
      </w:rPr>
      <w:t>7</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0378" w:rsidRDefault="005C380A">
    <w:pPr>
      <w:tabs>
        <w:tab w:val="center" w:pos="4153"/>
        <w:tab w:val="right" w:pos="8306"/>
      </w:tabs>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2E0378" w:rsidRDefault="005C380A">
                          <w:pPr>
                            <w:tabs>
                              <w:tab w:val="center" w:pos="4153"/>
                              <w:tab w:val="right" w:pos="8306"/>
                            </w:tabs>
                          </w:pPr>
                          <w:r>
                            <w:rPr>
                              <w:rFonts w:hint="eastAsia"/>
                            </w:rPr>
                            <w:t>－</w:t>
                          </w:r>
                          <w:r>
                            <w:fldChar w:fldCharType="begin"/>
                          </w:r>
                          <w:r>
                            <w:instrText xml:space="preserve">PAGE  </w:instrText>
                          </w:r>
                          <w:r>
                            <w:fldChar w:fldCharType="separate"/>
                          </w:r>
                          <w:r w:rsidR="00F74FB3">
                            <w:rPr>
                              <w:noProof/>
                            </w:rPr>
                            <w:t>8</w:t>
                          </w:r>
                          <w:r>
                            <w:fldChar w:fldCharType="end"/>
                          </w:r>
                          <w:r>
                            <w:rPr>
                              <w:rFonts w:hint="eastAsia"/>
                            </w:rPr>
                            <w:t>－</w:t>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79" o:spid="_x0000_s1034"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6EGy07sBAABSAwAADgAAAAAAAAAAAAAAAAAuAgAAZHJzL2Uyb0Rv&#10;Yy54bWxQSwECLQAUAAYACAAAACEAcarRudcAAAAFAQAADwAAAAAAAAAAAAAAAAAVBAAAZHJzL2Rv&#10;d25yZXYueG1sUEsFBgAAAAAEAAQA8wAAABkFAAAAAA==&#10;" filled="f" stroked="f" strokeweight=".5pt">
              <v:textbox style="mso-fit-shape-to-text:t" inset="0,0,0,0">
                <w:txbxContent>
                  <w:p w:rsidR="002E0378" w:rsidRDefault="005C380A">
                    <w:pPr>
                      <w:tabs>
                        <w:tab w:val="center" w:pos="4153"/>
                        <w:tab w:val="right" w:pos="8306"/>
                      </w:tabs>
                    </w:pPr>
                    <w:r>
                      <w:rPr>
                        <w:rFonts w:hint="eastAsia"/>
                      </w:rPr>
                      <w:t>－</w:t>
                    </w:r>
                    <w:r>
                      <w:fldChar w:fldCharType="begin"/>
                    </w:r>
                    <w:r>
                      <w:instrText xml:space="preserve">PAGE  </w:instrText>
                    </w:r>
                    <w:r>
                      <w:fldChar w:fldCharType="separate"/>
                    </w:r>
                    <w:r w:rsidR="00F74FB3">
                      <w:rPr>
                        <w:noProof/>
                      </w:rPr>
                      <w:t>8</w:t>
                    </w:r>
                    <w:r>
                      <w:fldChar w:fldCharType="end"/>
                    </w:r>
                    <w:r>
                      <w:rPr>
                        <w:rFonts w:hint="eastAsia"/>
                      </w:rPr>
                      <w:t>－</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3F73" w:rsidRDefault="00F43F73">
      <w:r>
        <w:separator/>
      </w:r>
    </w:p>
  </w:footnote>
  <w:footnote w:type="continuationSeparator" w:id="0">
    <w:p w:rsidR="00F43F73" w:rsidRDefault="00F43F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44E0B4B"/>
    <w:multiLevelType w:val="singleLevel"/>
    <w:tmpl w:val="944E0B4B"/>
    <w:lvl w:ilvl="0">
      <w:start w:val="1"/>
      <w:numFmt w:val="decimal"/>
      <w:suff w:val="nothing"/>
      <w:lvlText w:val="（%1）"/>
      <w:lvlJc w:val="left"/>
    </w:lvl>
  </w:abstractNum>
  <w:abstractNum w:abstractNumId="1">
    <w:nsid w:val="F71254A7"/>
    <w:multiLevelType w:val="singleLevel"/>
    <w:tmpl w:val="F71254A7"/>
    <w:lvl w:ilvl="0">
      <w:start w:val="1"/>
      <w:numFmt w:val="bullet"/>
      <w:pStyle w:val="5"/>
      <w:lvlText w:val=""/>
      <w:lvlJc w:val="left"/>
      <w:pPr>
        <w:tabs>
          <w:tab w:val="left" w:pos="5889"/>
        </w:tabs>
        <w:ind w:left="5889" w:hanging="360"/>
      </w:pPr>
      <w:rPr>
        <w:rFonts w:ascii="Wingdings" w:hAnsi="Wingdings" w:hint="default"/>
      </w:rPr>
    </w:lvl>
  </w:abstractNum>
  <w:abstractNum w:abstractNumId="2">
    <w:nsid w:val="2972E93C"/>
    <w:multiLevelType w:val="singleLevel"/>
    <w:tmpl w:val="2972E93C"/>
    <w:lvl w:ilvl="0">
      <w:start w:val="2"/>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1YjJkMDUyNjJjZjFmNzczZjJkZTYzNGVmNTAyNTMifQ=="/>
  </w:docVars>
  <w:rsids>
    <w:rsidRoot w:val="00172A27"/>
    <w:rsid w:val="000118A6"/>
    <w:rsid w:val="00057DAE"/>
    <w:rsid w:val="000A785A"/>
    <w:rsid w:val="001033F0"/>
    <w:rsid w:val="00172A27"/>
    <w:rsid w:val="001D7225"/>
    <w:rsid w:val="00207932"/>
    <w:rsid w:val="00275272"/>
    <w:rsid w:val="002A2F21"/>
    <w:rsid w:val="002B097C"/>
    <w:rsid w:val="002B0D64"/>
    <w:rsid w:val="002B10BB"/>
    <w:rsid w:val="002C7639"/>
    <w:rsid w:val="002E0378"/>
    <w:rsid w:val="003359EA"/>
    <w:rsid w:val="00350FAF"/>
    <w:rsid w:val="003841AF"/>
    <w:rsid w:val="003971C7"/>
    <w:rsid w:val="003E384D"/>
    <w:rsid w:val="00407CE0"/>
    <w:rsid w:val="00453165"/>
    <w:rsid w:val="00470694"/>
    <w:rsid w:val="00491216"/>
    <w:rsid w:val="004B1B28"/>
    <w:rsid w:val="004C1441"/>
    <w:rsid w:val="005426E0"/>
    <w:rsid w:val="00575E43"/>
    <w:rsid w:val="005C380A"/>
    <w:rsid w:val="005E1877"/>
    <w:rsid w:val="00604389"/>
    <w:rsid w:val="006112E5"/>
    <w:rsid w:val="00616383"/>
    <w:rsid w:val="006D4295"/>
    <w:rsid w:val="007007DA"/>
    <w:rsid w:val="00703046"/>
    <w:rsid w:val="00744834"/>
    <w:rsid w:val="008542AF"/>
    <w:rsid w:val="008B1530"/>
    <w:rsid w:val="008B5455"/>
    <w:rsid w:val="008C60BF"/>
    <w:rsid w:val="0090536A"/>
    <w:rsid w:val="00933D4F"/>
    <w:rsid w:val="00975296"/>
    <w:rsid w:val="00996D4D"/>
    <w:rsid w:val="009A3267"/>
    <w:rsid w:val="009B4233"/>
    <w:rsid w:val="009C4C6C"/>
    <w:rsid w:val="009E14D1"/>
    <w:rsid w:val="00A35923"/>
    <w:rsid w:val="00A63BED"/>
    <w:rsid w:val="00AE38FE"/>
    <w:rsid w:val="00B02DA3"/>
    <w:rsid w:val="00B37564"/>
    <w:rsid w:val="00B410ED"/>
    <w:rsid w:val="00B42F1B"/>
    <w:rsid w:val="00B532B6"/>
    <w:rsid w:val="00B62C59"/>
    <w:rsid w:val="00BA0856"/>
    <w:rsid w:val="00BB74B2"/>
    <w:rsid w:val="00BD43C5"/>
    <w:rsid w:val="00BD5B8F"/>
    <w:rsid w:val="00BE3778"/>
    <w:rsid w:val="00BE4610"/>
    <w:rsid w:val="00C22844"/>
    <w:rsid w:val="00C26B18"/>
    <w:rsid w:val="00C64B0D"/>
    <w:rsid w:val="00D32C7F"/>
    <w:rsid w:val="00D539AC"/>
    <w:rsid w:val="00D55FDF"/>
    <w:rsid w:val="00D616EA"/>
    <w:rsid w:val="00DF536C"/>
    <w:rsid w:val="00E109C8"/>
    <w:rsid w:val="00E20820"/>
    <w:rsid w:val="00E548E8"/>
    <w:rsid w:val="00E72D3E"/>
    <w:rsid w:val="00E7357A"/>
    <w:rsid w:val="00E84621"/>
    <w:rsid w:val="00F0031A"/>
    <w:rsid w:val="00F43F73"/>
    <w:rsid w:val="00F6745C"/>
    <w:rsid w:val="00F74FB3"/>
    <w:rsid w:val="00FB5A34"/>
    <w:rsid w:val="00FD011E"/>
    <w:rsid w:val="012C0C76"/>
    <w:rsid w:val="013C4654"/>
    <w:rsid w:val="01417CD8"/>
    <w:rsid w:val="015514B2"/>
    <w:rsid w:val="01643FC5"/>
    <w:rsid w:val="01804694"/>
    <w:rsid w:val="0196130E"/>
    <w:rsid w:val="019647F2"/>
    <w:rsid w:val="01C856B7"/>
    <w:rsid w:val="01CE3A23"/>
    <w:rsid w:val="01E14DCA"/>
    <w:rsid w:val="01EE7C08"/>
    <w:rsid w:val="01EF5448"/>
    <w:rsid w:val="01FE058C"/>
    <w:rsid w:val="020F5B76"/>
    <w:rsid w:val="026046C8"/>
    <w:rsid w:val="027E5BF5"/>
    <w:rsid w:val="02895299"/>
    <w:rsid w:val="028D0A51"/>
    <w:rsid w:val="029F0F02"/>
    <w:rsid w:val="02C71A6D"/>
    <w:rsid w:val="02C76B4D"/>
    <w:rsid w:val="02DB2FCF"/>
    <w:rsid w:val="02F76B2B"/>
    <w:rsid w:val="02FC6355"/>
    <w:rsid w:val="031D16F5"/>
    <w:rsid w:val="032410ED"/>
    <w:rsid w:val="0331610C"/>
    <w:rsid w:val="0341020B"/>
    <w:rsid w:val="03436FDB"/>
    <w:rsid w:val="03561A4A"/>
    <w:rsid w:val="035835FB"/>
    <w:rsid w:val="03773892"/>
    <w:rsid w:val="03A5566C"/>
    <w:rsid w:val="03D66E53"/>
    <w:rsid w:val="03DE083B"/>
    <w:rsid w:val="03E02365"/>
    <w:rsid w:val="03F96D09"/>
    <w:rsid w:val="0405748B"/>
    <w:rsid w:val="045F4DED"/>
    <w:rsid w:val="04777920"/>
    <w:rsid w:val="0481099F"/>
    <w:rsid w:val="04891E6A"/>
    <w:rsid w:val="04A82A72"/>
    <w:rsid w:val="04A970C5"/>
    <w:rsid w:val="04B124B7"/>
    <w:rsid w:val="04B24C78"/>
    <w:rsid w:val="04BC7761"/>
    <w:rsid w:val="04BF06E0"/>
    <w:rsid w:val="04CC0838"/>
    <w:rsid w:val="04F15AED"/>
    <w:rsid w:val="0506170D"/>
    <w:rsid w:val="050832DD"/>
    <w:rsid w:val="05145BED"/>
    <w:rsid w:val="052536DF"/>
    <w:rsid w:val="05344F34"/>
    <w:rsid w:val="053664DE"/>
    <w:rsid w:val="056A60FF"/>
    <w:rsid w:val="056F72B2"/>
    <w:rsid w:val="057D7977"/>
    <w:rsid w:val="05815E46"/>
    <w:rsid w:val="05BE5AA3"/>
    <w:rsid w:val="05F74668"/>
    <w:rsid w:val="06374CEB"/>
    <w:rsid w:val="06376C89"/>
    <w:rsid w:val="063F4A4C"/>
    <w:rsid w:val="06460C9B"/>
    <w:rsid w:val="065F10D4"/>
    <w:rsid w:val="06663D28"/>
    <w:rsid w:val="067226F8"/>
    <w:rsid w:val="068428E9"/>
    <w:rsid w:val="06844E67"/>
    <w:rsid w:val="069778EF"/>
    <w:rsid w:val="06A31760"/>
    <w:rsid w:val="06BF20EB"/>
    <w:rsid w:val="06D849E3"/>
    <w:rsid w:val="06DA075B"/>
    <w:rsid w:val="06DC0977"/>
    <w:rsid w:val="06E036F4"/>
    <w:rsid w:val="06E04022"/>
    <w:rsid w:val="06F51A39"/>
    <w:rsid w:val="070752C8"/>
    <w:rsid w:val="07126147"/>
    <w:rsid w:val="071D7776"/>
    <w:rsid w:val="071E01BD"/>
    <w:rsid w:val="07323527"/>
    <w:rsid w:val="07373A3E"/>
    <w:rsid w:val="073B0A10"/>
    <w:rsid w:val="074A1D85"/>
    <w:rsid w:val="074C0EEB"/>
    <w:rsid w:val="074E3773"/>
    <w:rsid w:val="07854B6B"/>
    <w:rsid w:val="079F1AAB"/>
    <w:rsid w:val="07B65912"/>
    <w:rsid w:val="07BC01A7"/>
    <w:rsid w:val="07E96D56"/>
    <w:rsid w:val="081E681D"/>
    <w:rsid w:val="0825634E"/>
    <w:rsid w:val="082B66BB"/>
    <w:rsid w:val="084D212F"/>
    <w:rsid w:val="085207C5"/>
    <w:rsid w:val="08530971"/>
    <w:rsid w:val="085473AB"/>
    <w:rsid w:val="08562787"/>
    <w:rsid w:val="086F66E2"/>
    <w:rsid w:val="088D09C3"/>
    <w:rsid w:val="089477AB"/>
    <w:rsid w:val="089F0056"/>
    <w:rsid w:val="08E763ED"/>
    <w:rsid w:val="09166E93"/>
    <w:rsid w:val="092D370C"/>
    <w:rsid w:val="093A2F8F"/>
    <w:rsid w:val="093D3223"/>
    <w:rsid w:val="094267CE"/>
    <w:rsid w:val="094A6A78"/>
    <w:rsid w:val="0955056D"/>
    <w:rsid w:val="096575DA"/>
    <w:rsid w:val="097B5072"/>
    <w:rsid w:val="09811362"/>
    <w:rsid w:val="098C0EE5"/>
    <w:rsid w:val="09B55EAF"/>
    <w:rsid w:val="09BC1BB2"/>
    <w:rsid w:val="09BF0E66"/>
    <w:rsid w:val="09EB21C6"/>
    <w:rsid w:val="09EE4386"/>
    <w:rsid w:val="09F50440"/>
    <w:rsid w:val="0A17314F"/>
    <w:rsid w:val="0A194B7F"/>
    <w:rsid w:val="0A474359"/>
    <w:rsid w:val="0A5F5878"/>
    <w:rsid w:val="0AAA37AF"/>
    <w:rsid w:val="0AB616AE"/>
    <w:rsid w:val="0AC5644C"/>
    <w:rsid w:val="0AD5196D"/>
    <w:rsid w:val="0AE13EE1"/>
    <w:rsid w:val="0AEB71F7"/>
    <w:rsid w:val="0AEC7F67"/>
    <w:rsid w:val="0AF124B9"/>
    <w:rsid w:val="0B027032"/>
    <w:rsid w:val="0B09017D"/>
    <w:rsid w:val="0B1C4FD5"/>
    <w:rsid w:val="0B432014"/>
    <w:rsid w:val="0B510A3A"/>
    <w:rsid w:val="0BA71A19"/>
    <w:rsid w:val="0BBA5954"/>
    <w:rsid w:val="0BBE65A5"/>
    <w:rsid w:val="0BBF3125"/>
    <w:rsid w:val="0C0015CD"/>
    <w:rsid w:val="0C0D4016"/>
    <w:rsid w:val="0C0E10C9"/>
    <w:rsid w:val="0C112E02"/>
    <w:rsid w:val="0C117DC2"/>
    <w:rsid w:val="0C12594E"/>
    <w:rsid w:val="0C145755"/>
    <w:rsid w:val="0C1E733C"/>
    <w:rsid w:val="0C602BB1"/>
    <w:rsid w:val="0C7156BE"/>
    <w:rsid w:val="0C813350"/>
    <w:rsid w:val="0CA11C55"/>
    <w:rsid w:val="0CCF5D53"/>
    <w:rsid w:val="0CD43B8F"/>
    <w:rsid w:val="0D135FD2"/>
    <w:rsid w:val="0D181FDD"/>
    <w:rsid w:val="0D2B6C5B"/>
    <w:rsid w:val="0D344409"/>
    <w:rsid w:val="0D653273"/>
    <w:rsid w:val="0D717A1B"/>
    <w:rsid w:val="0D7F3179"/>
    <w:rsid w:val="0D852819"/>
    <w:rsid w:val="0D9644D2"/>
    <w:rsid w:val="0DA336F3"/>
    <w:rsid w:val="0DB461AA"/>
    <w:rsid w:val="0DC929E7"/>
    <w:rsid w:val="0DCF4D92"/>
    <w:rsid w:val="0DD419D9"/>
    <w:rsid w:val="0E033A6C"/>
    <w:rsid w:val="0E211365"/>
    <w:rsid w:val="0E306985"/>
    <w:rsid w:val="0E447301"/>
    <w:rsid w:val="0E4C75D8"/>
    <w:rsid w:val="0E7E5D0D"/>
    <w:rsid w:val="0E8F0CEA"/>
    <w:rsid w:val="0EC21DAB"/>
    <w:rsid w:val="0EC727A4"/>
    <w:rsid w:val="0EEC54CF"/>
    <w:rsid w:val="0EED6C92"/>
    <w:rsid w:val="0EFA7666"/>
    <w:rsid w:val="0F2D087A"/>
    <w:rsid w:val="0F2E73B0"/>
    <w:rsid w:val="0F4946D0"/>
    <w:rsid w:val="0F6458F7"/>
    <w:rsid w:val="0F69397E"/>
    <w:rsid w:val="0F9A4A5F"/>
    <w:rsid w:val="0F9C31BC"/>
    <w:rsid w:val="0FAE05C1"/>
    <w:rsid w:val="0FAE0BED"/>
    <w:rsid w:val="0FB16FD1"/>
    <w:rsid w:val="0FB5235D"/>
    <w:rsid w:val="0FBB1EDF"/>
    <w:rsid w:val="0FC75387"/>
    <w:rsid w:val="0FD25CF9"/>
    <w:rsid w:val="0FDA4255"/>
    <w:rsid w:val="0FF13046"/>
    <w:rsid w:val="10183020"/>
    <w:rsid w:val="101F12B3"/>
    <w:rsid w:val="10263EE2"/>
    <w:rsid w:val="10361673"/>
    <w:rsid w:val="10545EBB"/>
    <w:rsid w:val="105570A4"/>
    <w:rsid w:val="106D0A4E"/>
    <w:rsid w:val="10781757"/>
    <w:rsid w:val="108B4EC4"/>
    <w:rsid w:val="10A82C5C"/>
    <w:rsid w:val="10C93914"/>
    <w:rsid w:val="10D0497D"/>
    <w:rsid w:val="10EA5C4A"/>
    <w:rsid w:val="10F917D7"/>
    <w:rsid w:val="11010366"/>
    <w:rsid w:val="11052878"/>
    <w:rsid w:val="11197D0C"/>
    <w:rsid w:val="112A03C4"/>
    <w:rsid w:val="11491C48"/>
    <w:rsid w:val="11612439"/>
    <w:rsid w:val="117373EC"/>
    <w:rsid w:val="11843207"/>
    <w:rsid w:val="118B5473"/>
    <w:rsid w:val="118C2734"/>
    <w:rsid w:val="11904838"/>
    <w:rsid w:val="11940237"/>
    <w:rsid w:val="11995CD3"/>
    <w:rsid w:val="119E19F2"/>
    <w:rsid w:val="11A5695A"/>
    <w:rsid w:val="11AA4EBA"/>
    <w:rsid w:val="11AE5371"/>
    <w:rsid w:val="11C72224"/>
    <w:rsid w:val="11CB5870"/>
    <w:rsid w:val="11D32976"/>
    <w:rsid w:val="11F83BA7"/>
    <w:rsid w:val="12270ECE"/>
    <w:rsid w:val="12555A81"/>
    <w:rsid w:val="12656BC8"/>
    <w:rsid w:val="126D328C"/>
    <w:rsid w:val="12723F3D"/>
    <w:rsid w:val="128C35B5"/>
    <w:rsid w:val="1291739B"/>
    <w:rsid w:val="12AA5E62"/>
    <w:rsid w:val="12E00F71"/>
    <w:rsid w:val="12E169C2"/>
    <w:rsid w:val="12ED5CBA"/>
    <w:rsid w:val="131052A0"/>
    <w:rsid w:val="13161547"/>
    <w:rsid w:val="131803C8"/>
    <w:rsid w:val="133F4640"/>
    <w:rsid w:val="135F1B55"/>
    <w:rsid w:val="13624CF8"/>
    <w:rsid w:val="13703D0C"/>
    <w:rsid w:val="138D48B6"/>
    <w:rsid w:val="13B0333E"/>
    <w:rsid w:val="13BA62A3"/>
    <w:rsid w:val="13CB3A8A"/>
    <w:rsid w:val="13D50C28"/>
    <w:rsid w:val="13DB475F"/>
    <w:rsid w:val="13E0569F"/>
    <w:rsid w:val="13EC7EAC"/>
    <w:rsid w:val="14441C85"/>
    <w:rsid w:val="14450826"/>
    <w:rsid w:val="144856A4"/>
    <w:rsid w:val="14511D44"/>
    <w:rsid w:val="14524C9F"/>
    <w:rsid w:val="146B7142"/>
    <w:rsid w:val="148F44D2"/>
    <w:rsid w:val="1498520E"/>
    <w:rsid w:val="14AD3953"/>
    <w:rsid w:val="14AF0F2D"/>
    <w:rsid w:val="14B216F3"/>
    <w:rsid w:val="14B52807"/>
    <w:rsid w:val="14D964F6"/>
    <w:rsid w:val="15001CD4"/>
    <w:rsid w:val="15025424"/>
    <w:rsid w:val="15043F58"/>
    <w:rsid w:val="15087273"/>
    <w:rsid w:val="150B74C7"/>
    <w:rsid w:val="150E7D62"/>
    <w:rsid w:val="15225EAA"/>
    <w:rsid w:val="153E38FB"/>
    <w:rsid w:val="155F6FDA"/>
    <w:rsid w:val="156227AC"/>
    <w:rsid w:val="156264EB"/>
    <w:rsid w:val="156F0FB5"/>
    <w:rsid w:val="15C803F7"/>
    <w:rsid w:val="15CE165B"/>
    <w:rsid w:val="15D03F06"/>
    <w:rsid w:val="160000DD"/>
    <w:rsid w:val="161B2B0B"/>
    <w:rsid w:val="162F781C"/>
    <w:rsid w:val="16685D83"/>
    <w:rsid w:val="168102A6"/>
    <w:rsid w:val="16946A47"/>
    <w:rsid w:val="16AB6FB6"/>
    <w:rsid w:val="16B94831"/>
    <w:rsid w:val="16D53705"/>
    <w:rsid w:val="16D745AF"/>
    <w:rsid w:val="16F613A3"/>
    <w:rsid w:val="16FA2D91"/>
    <w:rsid w:val="170B5666"/>
    <w:rsid w:val="171C0B48"/>
    <w:rsid w:val="17255D90"/>
    <w:rsid w:val="172C6802"/>
    <w:rsid w:val="175B22A9"/>
    <w:rsid w:val="176052A2"/>
    <w:rsid w:val="177C4E91"/>
    <w:rsid w:val="17900D32"/>
    <w:rsid w:val="17BF248C"/>
    <w:rsid w:val="17D44FAB"/>
    <w:rsid w:val="17E32D3F"/>
    <w:rsid w:val="17FC4684"/>
    <w:rsid w:val="18047D2E"/>
    <w:rsid w:val="180D2B4D"/>
    <w:rsid w:val="18177B8B"/>
    <w:rsid w:val="18624641"/>
    <w:rsid w:val="186E2BE4"/>
    <w:rsid w:val="188D46EA"/>
    <w:rsid w:val="189318A6"/>
    <w:rsid w:val="18973FD7"/>
    <w:rsid w:val="18A40365"/>
    <w:rsid w:val="18CE62C8"/>
    <w:rsid w:val="18DC7206"/>
    <w:rsid w:val="18EB59D5"/>
    <w:rsid w:val="18F57676"/>
    <w:rsid w:val="19031980"/>
    <w:rsid w:val="191F1517"/>
    <w:rsid w:val="19297320"/>
    <w:rsid w:val="19731D1F"/>
    <w:rsid w:val="198C2ECA"/>
    <w:rsid w:val="198F3627"/>
    <w:rsid w:val="199532F2"/>
    <w:rsid w:val="19A92763"/>
    <w:rsid w:val="19B762B0"/>
    <w:rsid w:val="19D03000"/>
    <w:rsid w:val="19D74B26"/>
    <w:rsid w:val="19D821FC"/>
    <w:rsid w:val="19E703B7"/>
    <w:rsid w:val="19EB5277"/>
    <w:rsid w:val="19EF0D8D"/>
    <w:rsid w:val="1A083417"/>
    <w:rsid w:val="1A1628F1"/>
    <w:rsid w:val="1A206975"/>
    <w:rsid w:val="1A2C58A4"/>
    <w:rsid w:val="1A4058C5"/>
    <w:rsid w:val="1A5D28A7"/>
    <w:rsid w:val="1A647700"/>
    <w:rsid w:val="1A6B75FE"/>
    <w:rsid w:val="1A703458"/>
    <w:rsid w:val="1A9415DF"/>
    <w:rsid w:val="1AB61021"/>
    <w:rsid w:val="1ACD5AD9"/>
    <w:rsid w:val="1AF177AE"/>
    <w:rsid w:val="1B1052FC"/>
    <w:rsid w:val="1B3536BC"/>
    <w:rsid w:val="1B413164"/>
    <w:rsid w:val="1B54398F"/>
    <w:rsid w:val="1B5F527B"/>
    <w:rsid w:val="1B8711B8"/>
    <w:rsid w:val="1B9359D0"/>
    <w:rsid w:val="1BAB04C0"/>
    <w:rsid w:val="1BCA10E7"/>
    <w:rsid w:val="1BCF3A9F"/>
    <w:rsid w:val="1BCF4331"/>
    <w:rsid w:val="1BD96DDB"/>
    <w:rsid w:val="1BE97440"/>
    <w:rsid w:val="1C012C68"/>
    <w:rsid w:val="1C0D0726"/>
    <w:rsid w:val="1C38577E"/>
    <w:rsid w:val="1C4A1A87"/>
    <w:rsid w:val="1C562EAA"/>
    <w:rsid w:val="1C844647"/>
    <w:rsid w:val="1C8E5B2B"/>
    <w:rsid w:val="1C9421A7"/>
    <w:rsid w:val="1C9527A4"/>
    <w:rsid w:val="1CA13568"/>
    <w:rsid w:val="1CA54E9B"/>
    <w:rsid w:val="1CAB5D7F"/>
    <w:rsid w:val="1CAE643E"/>
    <w:rsid w:val="1CB2614E"/>
    <w:rsid w:val="1CB505B4"/>
    <w:rsid w:val="1CE43C8A"/>
    <w:rsid w:val="1D4D3A96"/>
    <w:rsid w:val="1D682B0D"/>
    <w:rsid w:val="1D7720EA"/>
    <w:rsid w:val="1DC37E8E"/>
    <w:rsid w:val="1DD261D8"/>
    <w:rsid w:val="1DD377A6"/>
    <w:rsid w:val="1DD75FFA"/>
    <w:rsid w:val="1DD90985"/>
    <w:rsid w:val="1DE136D5"/>
    <w:rsid w:val="1DF23697"/>
    <w:rsid w:val="1E0E30CF"/>
    <w:rsid w:val="1E330FF6"/>
    <w:rsid w:val="1E4075E6"/>
    <w:rsid w:val="1E5D494E"/>
    <w:rsid w:val="1E647DA3"/>
    <w:rsid w:val="1E87602A"/>
    <w:rsid w:val="1EBE3843"/>
    <w:rsid w:val="1EC14FA7"/>
    <w:rsid w:val="1EC96B20"/>
    <w:rsid w:val="1ED1765C"/>
    <w:rsid w:val="1EE937D9"/>
    <w:rsid w:val="1F0D76F1"/>
    <w:rsid w:val="1F1C673E"/>
    <w:rsid w:val="1F234F3D"/>
    <w:rsid w:val="1F464294"/>
    <w:rsid w:val="1F675B44"/>
    <w:rsid w:val="1F780246"/>
    <w:rsid w:val="1F7C2CDE"/>
    <w:rsid w:val="1F7F19C6"/>
    <w:rsid w:val="1F82281E"/>
    <w:rsid w:val="1F833C2E"/>
    <w:rsid w:val="1FCA7CB5"/>
    <w:rsid w:val="1FD04FE2"/>
    <w:rsid w:val="1FE8062A"/>
    <w:rsid w:val="1FEB3581"/>
    <w:rsid w:val="20140D2A"/>
    <w:rsid w:val="20271170"/>
    <w:rsid w:val="202D3B9A"/>
    <w:rsid w:val="204D5FEA"/>
    <w:rsid w:val="20766983"/>
    <w:rsid w:val="20A71D22"/>
    <w:rsid w:val="20B816B5"/>
    <w:rsid w:val="20DC0B00"/>
    <w:rsid w:val="20E24984"/>
    <w:rsid w:val="20E26D2E"/>
    <w:rsid w:val="20EF6BB6"/>
    <w:rsid w:val="211249F3"/>
    <w:rsid w:val="21325C9E"/>
    <w:rsid w:val="213A4C2A"/>
    <w:rsid w:val="21666375"/>
    <w:rsid w:val="21675E4C"/>
    <w:rsid w:val="21756493"/>
    <w:rsid w:val="2180340C"/>
    <w:rsid w:val="21916251"/>
    <w:rsid w:val="2193456F"/>
    <w:rsid w:val="21993F94"/>
    <w:rsid w:val="219E66BE"/>
    <w:rsid w:val="21A029DE"/>
    <w:rsid w:val="21A7036C"/>
    <w:rsid w:val="21D342CD"/>
    <w:rsid w:val="220957BD"/>
    <w:rsid w:val="22115DF1"/>
    <w:rsid w:val="223034CD"/>
    <w:rsid w:val="22374CC3"/>
    <w:rsid w:val="22405491"/>
    <w:rsid w:val="226D64CF"/>
    <w:rsid w:val="226F68D6"/>
    <w:rsid w:val="2271349E"/>
    <w:rsid w:val="22720142"/>
    <w:rsid w:val="227C4964"/>
    <w:rsid w:val="228850B7"/>
    <w:rsid w:val="22A372BB"/>
    <w:rsid w:val="22C00CF5"/>
    <w:rsid w:val="22D52248"/>
    <w:rsid w:val="22D5366A"/>
    <w:rsid w:val="22D87DED"/>
    <w:rsid w:val="22D97AD5"/>
    <w:rsid w:val="22E1198F"/>
    <w:rsid w:val="22E27014"/>
    <w:rsid w:val="22F408A2"/>
    <w:rsid w:val="23137E25"/>
    <w:rsid w:val="232E1CEE"/>
    <w:rsid w:val="233B3D51"/>
    <w:rsid w:val="23420BEE"/>
    <w:rsid w:val="234760EA"/>
    <w:rsid w:val="235631CC"/>
    <w:rsid w:val="23565C63"/>
    <w:rsid w:val="235900BA"/>
    <w:rsid w:val="237C2E6E"/>
    <w:rsid w:val="237F72E4"/>
    <w:rsid w:val="23B53BA6"/>
    <w:rsid w:val="23CF2CC6"/>
    <w:rsid w:val="2416364A"/>
    <w:rsid w:val="2429311D"/>
    <w:rsid w:val="243E5254"/>
    <w:rsid w:val="24461AE2"/>
    <w:rsid w:val="24653902"/>
    <w:rsid w:val="24654DFE"/>
    <w:rsid w:val="246736C1"/>
    <w:rsid w:val="24745FA2"/>
    <w:rsid w:val="24831FF9"/>
    <w:rsid w:val="249F16C1"/>
    <w:rsid w:val="24A61BAE"/>
    <w:rsid w:val="24BE0D1D"/>
    <w:rsid w:val="24C0764C"/>
    <w:rsid w:val="24EF58C2"/>
    <w:rsid w:val="24EF71D2"/>
    <w:rsid w:val="24F92350"/>
    <w:rsid w:val="251D48D2"/>
    <w:rsid w:val="2530362A"/>
    <w:rsid w:val="25453733"/>
    <w:rsid w:val="254637CE"/>
    <w:rsid w:val="254E5238"/>
    <w:rsid w:val="255B1D54"/>
    <w:rsid w:val="256A09B9"/>
    <w:rsid w:val="25B975C5"/>
    <w:rsid w:val="25C82B3E"/>
    <w:rsid w:val="25E920B7"/>
    <w:rsid w:val="25EF5DC5"/>
    <w:rsid w:val="26145849"/>
    <w:rsid w:val="26260896"/>
    <w:rsid w:val="26264931"/>
    <w:rsid w:val="26450CE6"/>
    <w:rsid w:val="26551754"/>
    <w:rsid w:val="2673734B"/>
    <w:rsid w:val="267841D4"/>
    <w:rsid w:val="26795443"/>
    <w:rsid w:val="268A58A2"/>
    <w:rsid w:val="268A76B6"/>
    <w:rsid w:val="26AB4D90"/>
    <w:rsid w:val="26AF0081"/>
    <w:rsid w:val="26C43AFB"/>
    <w:rsid w:val="27140CE6"/>
    <w:rsid w:val="27277595"/>
    <w:rsid w:val="274C4FF8"/>
    <w:rsid w:val="275814E9"/>
    <w:rsid w:val="275D0918"/>
    <w:rsid w:val="275F3C6D"/>
    <w:rsid w:val="27657503"/>
    <w:rsid w:val="27762F36"/>
    <w:rsid w:val="27857EB7"/>
    <w:rsid w:val="27A33897"/>
    <w:rsid w:val="27CC5A46"/>
    <w:rsid w:val="27D05727"/>
    <w:rsid w:val="27DB2BE9"/>
    <w:rsid w:val="28090FB4"/>
    <w:rsid w:val="281C76C7"/>
    <w:rsid w:val="281D23DA"/>
    <w:rsid w:val="28304227"/>
    <w:rsid w:val="28427882"/>
    <w:rsid w:val="28936CC0"/>
    <w:rsid w:val="28AA4987"/>
    <w:rsid w:val="28B52E99"/>
    <w:rsid w:val="28C623C8"/>
    <w:rsid w:val="28C7203A"/>
    <w:rsid w:val="28D64DCE"/>
    <w:rsid w:val="28DB1AFD"/>
    <w:rsid w:val="28E14875"/>
    <w:rsid w:val="28E36632"/>
    <w:rsid w:val="29142CB3"/>
    <w:rsid w:val="29453AC4"/>
    <w:rsid w:val="29840E1B"/>
    <w:rsid w:val="298C6B7E"/>
    <w:rsid w:val="2A1E3FF8"/>
    <w:rsid w:val="2A222295"/>
    <w:rsid w:val="2A317DBB"/>
    <w:rsid w:val="2A3C6EB3"/>
    <w:rsid w:val="2A6B7562"/>
    <w:rsid w:val="2A9036A3"/>
    <w:rsid w:val="2AA85848"/>
    <w:rsid w:val="2ABC0138"/>
    <w:rsid w:val="2B122C31"/>
    <w:rsid w:val="2B161E4A"/>
    <w:rsid w:val="2B1E0067"/>
    <w:rsid w:val="2B254B00"/>
    <w:rsid w:val="2B3347A3"/>
    <w:rsid w:val="2B381D70"/>
    <w:rsid w:val="2B4656CE"/>
    <w:rsid w:val="2B570213"/>
    <w:rsid w:val="2B5E595D"/>
    <w:rsid w:val="2B863617"/>
    <w:rsid w:val="2B8763FF"/>
    <w:rsid w:val="2B91132C"/>
    <w:rsid w:val="2B966D86"/>
    <w:rsid w:val="2BB1742D"/>
    <w:rsid w:val="2BDB7407"/>
    <w:rsid w:val="2BDF1762"/>
    <w:rsid w:val="2BEA4612"/>
    <w:rsid w:val="2C016606"/>
    <w:rsid w:val="2C1174A9"/>
    <w:rsid w:val="2C224C9C"/>
    <w:rsid w:val="2C27448C"/>
    <w:rsid w:val="2C3832CF"/>
    <w:rsid w:val="2C3A78CD"/>
    <w:rsid w:val="2C3E5A9F"/>
    <w:rsid w:val="2C59603E"/>
    <w:rsid w:val="2C5A7AC4"/>
    <w:rsid w:val="2C730B86"/>
    <w:rsid w:val="2C950AFD"/>
    <w:rsid w:val="2CA91B93"/>
    <w:rsid w:val="2CAF5B19"/>
    <w:rsid w:val="2CB57117"/>
    <w:rsid w:val="2CC06163"/>
    <w:rsid w:val="2CC32E84"/>
    <w:rsid w:val="2CF857F9"/>
    <w:rsid w:val="2CFF3CE7"/>
    <w:rsid w:val="2D026ED4"/>
    <w:rsid w:val="2D037155"/>
    <w:rsid w:val="2D1777E5"/>
    <w:rsid w:val="2D177812"/>
    <w:rsid w:val="2D246708"/>
    <w:rsid w:val="2D26064D"/>
    <w:rsid w:val="2D467DFB"/>
    <w:rsid w:val="2D483085"/>
    <w:rsid w:val="2D492779"/>
    <w:rsid w:val="2D522E91"/>
    <w:rsid w:val="2D5D6C62"/>
    <w:rsid w:val="2D843A37"/>
    <w:rsid w:val="2D850B71"/>
    <w:rsid w:val="2D8A3164"/>
    <w:rsid w:val="2DB17D8D"/>
    <w:rsid w:val="2DBB0DA0"/>
    <w:rsid w:val="2DCA19E2"/>
    <w:rsid w:val="2DD211B5"/>
    <w:rsid w:val="2DE76331"/>
    <w:rsid w:val="2E08089B"/>
    <w:rsid w:val="2E141EF5"/>
    <w:rsid w:val="2E204D3E"/>
    <w:rsid w:val="2E220432"/>
    <w:rsid w:val="2E262E30"/>
    <w:rsid w:val="2E3B213B"/>
    <w:rsid w:val="2E3D2FDE"/>
    <w:rsid w:val="2E544B9A"/>
    <w:rsid w:val="2E5C3FC8"/>
    <w:rsid w:val="2E5E4188"/>
    <w:rsid w:val="2E666BF4"/>
    <w:rsid w:val="2E6F4D7C"/>
    <w:rsid w:val="2E8B68C8"/>
    <w:rsid w:val="2E9D3F03"/>
    <w:rsid w:val="2EAB4714"/>
    <w:rsid w:val="2EB66FA5"/>
    <w:rsid w:val="2EBF2759"/>
    <w:rsid w:val="2ECE6548"/>
    <w:rsid w:val="2ED0406E"/>
    <w:rsid w:val="2ED95618"/>
    <w:rsid w:val="2EF36E7A"/>
    <w:rsid w:val="2EFF0378"/>
    <w:rsid w:val="2F006806"/>
    <w:rsid w:val="2F104CCB"/>
    <w:rsid w:val="2F382B16"/>
    <w:rsid w:val="2F436A23"/>
    <w:rsid w:val="2F4C0089"/>
    <w:rsid w:val="2F6173BC"/>
    <w:rsid w:val="2F8D607E"/>
    <w:rsid w:val="2F903D63"/>
    <w:rsid w:val="2F911A4F"/>
    <w:rsid w:val="2FBE480E"/>
    <w:rsid w:val="2FC64BA6"/>
    <w:rsid w:val="2FDC7213"/>
    <w:rsid w:val="30006B48"/>
    <w:rsid w:val="301078DA"/>
    <w:rsid w:val="30225D54"/>
    <w:rsid w:val="302760C3"/>
    <w:rsid w:val="30291085"/>
    <w:rsid w:val="30541C68"/>
    <w:rsid w:val="30606635"/>
    <w:rsid w:val="30722FA5"/>
    <w:rsid w:val="3076335E"/>
    <w:rsid w:val="30A30AAB"/>
    <w:rsid w:val="30A3106A"/>
    <w:rsid w:val="30AD78B9"/>
    <w:rsid w:val="30AE2E26"/>
    <w:rsid w:val="30C1562D"/>
    <w:rsid w:val="30C47FC6"/>
    <w:rsid w:val="30D1726E"/>
    <w:rsid w:val="30F12CE5"/>
    <w:rsid w:val="30F42526"/>
    <w:rsid w:val="30FF71F7"/>
    <w:rsid w:val="31087D07"/>
    <w:rsid w:val="311A0E8C"/>
    <w:rsid w:val="3123158A"/>
    <w:rsid w:val="312977DC"/>
    <w:rsid w:val="31384B8D"/>
    <w:rsid w:val="313968E2"/>
    <w:rsid w:val="314B18D4"/>
    <w:rsid w:val="314C1B23"/>
    <w:rsid w:val="315D3105"/>
    <w:rsid w:val="31721C6D"/>
    <w:rsid w:val="317A6513"/>
    <w:rsid w:val="31853836"/>
    <w:rsid w:val="318C38ED"/>
    <w:rsid w:val="3194441B"/>
    <w:rsid w:val="31A210AD"/>
    <w:rsid w:val="31B1210E"/>
    <w:rsid w:val="31B20828"/>
    <w:rsid w:val="31FF27DF"/>
    <w:rsid w:val="32044834"/>
    <w:rsid w:val="32155E91"/>
    <w:rsid w:val="321C2A95"/>
    <w:rsid w:val="3229642B"/>
    <w:rsid w:val="32371ECE"/>
    <w:rsid w:val="32502474"/>
    <w:rsid w:val="325D4E1F"/>
    <w:rsid w:val="32606B65"/>
    <w:rsid w:val="326351F9"/>
    <w:rsid w:val="32917FB8"/>
    <w:rsid w:val="32987327"/>
    <w:rsid w:val="329B6FC6"/>
    <w:rsid w:val="329E137B"/>
    <w:rsid w:val="32A83D44"/>
    <w:rsid w:val="32AC3044"/>
    <w:rsid w:val="32BB0569"/>
    <w:rsid w:val="331C0AED"/>
    <w:rsid w:val="33255E05"/>
    <w:rsid w:val="332C0D54"/>
    <w:rsid w:val="33494D56"/>
    <w:rsid w:val="336A0B03"/>
    <w:rsid w:val="33771489"/>
    <w:rsid w:val="337736D8"/>
    <w:rsid w:val="339729FC"/>
    <w:rsid w:val="33C943EA"/>
    <w:rsid w:val="33D26B1C"/>
    <w:rsid w:val="33DB4CB1"/>
    <w:rsid w:val="33DE4BA4"/>
    <w:rsid w:val="33EC1D49"/>
    <w:rsid w:val="34074738"/>
    <w:rsid w:val="340D6302"/>
    <w:rsid w:val="340E5B86"/>
    <w:rsid w:val="34475AC3"/>
    <w:rsid w:val="345D465C"/>
    <w:rsid w:val="346D79C3"/>
    <w:rsid w:val="34987AAD"/>
    <w:rsid w:val="34B22CD6"/>
    <w:rsid w:val="34BD323A"/>
    <w:rsid w:val="34EB7F1B"/>
    <w:rsid w:val="34F068C0"/>
    <w:rsid w:val="350606FD"/>
    <w:rsid w:val="351647A5"/>
    <w:rsid w:val="352B0250"/>
    <w:rsid w:val="3538471B"/>
    <w:rsid w:val="353F2314"/>
    <w:rsid w:val="35446B47"/>
    <w:rsid w:val="355448F3"/>
    <w:rsid w:val="355B7F36"/>
    <w:rsid w:val="357C3056"/>
    <w:rsid w:val="358A3CE9"/>
    <w:rsid w:val="35A23356"/>
    <w:rsid w:val="35B773B9"/>
    <w:rsid w:val="35D703D8"/>
    <w:rsid w:val="35E64233"/>
    <w:rsid w:val="35F54CB2"/>
    <w:rsid w:val="35FB2C8E"/>
    <w:rsid w:val="361170FA"/>
    <w:rsid w:val="364636A2"/>
    <w:rsid w:val="36471D83"/>
    <w:rsid w:val="36485116"/>
    <w:rsid w:val="36516FF1"/>
    <w:rsid w:val="366A2AA9"/>
    <w:rsid w:val="366B3A81"/>
    <w:rsid w:val="367C33C3"/>
    <w:rsid w:val="367D1DCA"/>
    <w:rsid w:val="36874374"/>
    <w:rsid w:val="36930E93"/>
    <w:rsid w:val="36C850CE"/>
    <w:rsid w:val="36D60DD2"/>
    <w:rsid w:val="3700570C"/>
    <w:rsid w:val="37111E25"/>
    <w:rsid w:val="37192EA4"/>
    <w:rsid w:val="372316F4"/>
    <w:rsid w:val="374D4675"/>
    <w:rsid w:val="3759753F"/>
    <w:rsid w:val="376C74CF"/>
    <w:rsid w:val="37735C14"/>
    <w:rsid w:val="379A796D"/>
    <w:rsid w:val="37BE1055"/>
    <w:rsid w:val="37D319FC"/>
    <w:rsid w:val="37F42B6B"/>
    <w:rsid w:val="380C2A7B"/>
    <w:rsid w:val="382B56E4"/>
    <w:rsid w:val="3836418A"/>
    <w:rsid w:val="384A30E3"/>
    <w:rsid w:val="384E693A"/>
    <w:rsid w:val="38653A79"/>
    <w:rsid w:val="3867062A"/>
    <w:rsid w:val="386A108F"/>
    <w:rsid w:val="389A57B7"/>
    <w:rsid w:val="389F3688"/>
    <w:rsid w:val="38A21024"/>
    <w:rsid w:val="38A26A7B"/>
    <w:rsid w:val="38AF4945"/>
    <w:rsid w:val="38D356FE"/>
    <w:rsid w:val="38DE5764"/>
    <w:rsid w:val="38EA0422"/>
    <w:rsid w:val="38EE0245"/>
    <w:rsid w:val="392A07AD"/>
    <w:rsid w:val="392C0A3B"/>
    <w:rsid w:val="39360935"/>
    <w:rsid w:val="393B468D"/>
    <w:rsid w:val="394040DB"/>
    <w:rsid w:val="39453940"/>
    <w:rsid w:val="39562F73"/>
    <w:rsid w:val="39687FAE"/>
    <w:rsid w:val="396D77C6"/>
    <w:rsid w:val="39802560"/>
    <w:rsid w:val="398355A8"/>
    <w:rsid w:val="39914B8B"/>
    <w:rsid w:val="39B608FA"/>
    <w:rsid w:val="39C12F31"/>
    <w:rsid w:val="39CA138D"/>
    <w:rsid w:val="39E43845"/>
    <w:rsid w:val="39F70F4D"/>
    <w:rsid w:val="39FB48BB"/>
    <w:rsid w:val="39FF5C0B"/>
    <w:rsid w:val="3A652349"/>
    <w:rsid w:val="3A7F211D"/>
    <w:rsid w:val="3A8657B7"/>
    <w:rsid w:val="3A8756A4"/>
    <w:rsid w:val="3A95616C"/>
    <w:rsid w:val="3AA57635"/>
    <w:rsid w:val="3AA765CB"/>
    <w:rsid w:val="3AB6769C"/>
    <w:rsid w:val="3AC049EF"/>
    <w:rsid w:val="3AD90A16"/>
    <w:rsid w:val="3ADA702E"/>
    <w:rsid w:val="3AFD61EB"/>
    <w:rsid w:val="3B082DE1"/>
    <w:rsid w:val="3B2002A0"/>
    <w:rsid w:val="3B3E6048"/>
    <w:rsid w:val="3B477FB3"/>
    <w:rsid w:val="3B6C5772"/>
    <w:rsid w:val="3B6E70E8"/>
    <w:rsid w:val="3BC60592"/>
    <w:rsid w:val="3BDA5D03"/>
    <w:rsid w:val="3BF07939"/>
    <w:rsid w:val="3BF57461"/>
    <w:rsid w:val="3C2A6B82"/>
    <w:rsid w:val="3C2C1B49"/>
    <w:rsid w:val="3C4038F8"/>
    <w:rsid w:val="3C5266CE"/>
    <w:rsid w:val="3C6E7D85"/>
    <w:rsid w:val="3C8215EF"/>
    <w:rsid w:val="3C842CA3"/>
    <w:rsid w:val="3C94492D"/>
    <w:rsid w:val="3CA71E27"/>
    <w:rsid w:val="3CE16A18"/>
    <w:rsid w:val="3CE57476"/>
    <w:rsid w:val="3D0243A1"/>
    <w:rsid w:val="3D0F22EF"/>
    <w:rsid w:val="3D124D7F"/>
    <w:rsid w:val="3D3303D8"/>
    <w:rsid w:val="3D553128"/>
    <w:rsid w:val="3D567E34"/>
    <w:rsid w:val="3D6450E9"/>
    <w:rsid w:val="3D827DBA"/>
    <w:rsid w:val="3D8D2FC5"/>
    <w:rsid w:val="3D9A5306"/>
    <w:rsid w:val="3DA346CC"/>
    <w:rsid w:val="3DA66449"/>
    <w:rsid w:val="3DA70775"/>
    <w:rsid w:val="3DA908A0"/>
    <w:rsid w:val="3DB1268C"/>
    <w:rsid w:val="3DB6486B"/>
    <w:rsid w:val="3DB776C0"/>
    <w:rsid w:val="3DD070C6"/>
    <w:rsid w:val="3DF17B5D"/>
    <w:rsid w:val="3E0F5C89"/>
    <w:rsid w:val="3E10495F"/>
    <w:rsid w:val="3E1169E0"/>
    <w:rsid w:val="3E177FC1"/>
    <w:rsid w:val="3E3A63FF"/>
    <w:rsid w:val="3E3D6F94"/>
    <w:rsid w:val="3E5C1F71"/>
    <w:rsid w:val="3E6127A2"/>
    <w:rsid w:val="3E7136F6"/>
    <w:rsid w:val="3E9E1A93"/>
    <w:rsid w:val="3EC86B10"/>
    <w:rsid w:val="3ED656D0"/>
    <w:rsid w:val="3EDB0AE5"/>
    <w:rsid w:val="3EE410DD"/>
    <w:rsid w:val="3EEA2F2A"/>
    <w:rsid w:val="3F034B75"/>
    <w:rsid w:val="3F045D5C"/>
    <w:rsid w:val="3F0E07EF"/>
    <w:rsid w:val="3F107CA2"/>
    <w:rsid w:val="3F1E0E25"/>
    <w:rsid w:val="3F34791C"/>
    <w:rsid w:val="3F362866"/>
    <w:rsid w:val="3F413A2A"/>
    <w:rsid w:val="3F446BBC"/>
    <w:rsid w:val="3F450160"/>
    <w:rsid w:val="3F5328C9"/>
    <w:rsid w:val="3F544386"/>
    <w:rsid w:val="3F593C74"/>
    <w:rsid w:val="3F602B9C"/>
    <w:rsid w:val="3F70004B"/>
    <w:rsid w:val="3F8027E5"/>
    <w:rsid w:val="3FB24A7A"/>
    <w:rsid w:val="3FC469E1"/>
    <w:rsid w:val="40013724"/>
    <w:rsid w:val="40242349"/>
    <w:rsid w:val="402B74DF"/>
    <w:rsid w:val="403265F1"/>
    <w:rsid w:val="4034577C"/>
    <w:rsid w:val="40454FBB"/>
    <w:rsid w:val="4049186F"/>
    <w:rsid w:val="40545471"/>
    <w:rsid w:val="406B4088"/>
    <w:rsid w:val="40754464"/>
    <w:rsid w:val="409C46F8"/>
    <w:rsid w:val="40AC2B7F"/>
    <w:rsid w:val="40C71074"/>
    <w:rsid w:val="40E1385C"/>
    <w:rsid w:val="412B17C2"/>
    <w:rsid w:val="4134048C"/>
    <w:rsid w:val="41364F44"/>
    <w:rsid w:val="413E28FF"/>
    <w:rsid w:val="41456B3D"/>
    <w:rsid w:val="415A5607"/>
    <w:rsid w:val="415C04FA"/>
    <w:rsid w:val="416215CA"/>
    <w:rsid w:val="41760E6A"/>
    <w:rsid w:val="41785878"/>
    <w:rsid w:val="41856F3A"/>
    <w:rsid w:val="418F7DB9"/>
    <w:rsid w:val="41AB2739"/>
    <w:rsid w:val="41CB34B1"/>
    <w:rsid w:val="41D20353"/>
    <w:rsid w:val="41D36FF1"/>
    <w:rsid w:val="41D608A6"/>
    <w:rsid w:val="41D918AE"/>
    <w:rsid w:val="420D4FE4"/>
    <w:rsid w:val="421F738E"/>
    <w:rsid w:val="422F6EA6"/>
    <w:rsid w:val="426134AC"/>
    <w:rsid w:val="42667A4A"/>
    <w:rsid w:val="42997E20"/>
    <w:rsid w:val="42AE655C"/>
    <w:rsid w:val="42C70112"/>
    <w:rsid w:val="42CB1379"/>
    <w:rsid w:val="42D87185"/>
    <w:rsid w:val="42E41023"/>
    <w:rsid w:val="42F466D1"/>
    <w:rsid w:val="434626F9"/>
    <w:rsid w:val="43485AE6"/>
    <w:rsid w:val="43575C0D"/>
    <w:rsid w:val="43705222"/>
    <w:rsid w:val="437C3AD0"/>
    <w:rsid w:val="43A05015"/>
    <w:rsid w:val="43C21BE4"/>
    <w:rsid w:val="43C33727"/>
    <w:rsid w:val="43EB1FE3"/>
    <w:rsid w:val="43ED2F90"/>
    <w:rsid w:val="440920A4"/>
    <w:rsid w:val="44217544"/>
    <w:rsid w:val="44360169"/>
    <w:rsid w:val="44376CD9"/>
    <w:rsid w:val="444D0637"/>
    <w:rsid w:val="44584576"/>
    <w:rsid w:val="44625310"/>
    <w:rsid w:val="446A3A1F"/>
    <w:rsid w:val="44752D8E"/>
    <w:rsid w:val="44774156"/>
    <w:rsid w:val="448758D4"/>
    <w:rsid w:val="44CA2512"/>
    <w:rsid w:val="44D44363"/>
    <w:rsid w:val="44D9688C"/>
    <w:rsid w:val="44E32C53"/>
    <w:rsid w:val="45025B17"/>
    <w:rsid w:val="45036FC1"/>
    <w:rsid w:val="45126D36"/>
    <w:rsid w:val="45150801"/>
    <w:rsid w:val="451D09E5"/>
    <w:rsid w:val="4545622E"/>
    <w:rsid w:val="454B49E9"/>
    <w:rsid w:val="45547D29"/>
    <w:rsid w:val="45570BED"/>
    <w:rsid w:val="455A7AA0"/>
    <w:rsid w:val="455D40B1"/>
    <w:rsid w:val="456526F8"/>
    <w:rsid w:val="45695876"/>
    <w:rsid w:val="45727D83"/>
    <w:rsid w:val="45787F47"/>
    <w:rsid w:val="459D2350"/>
    <w:rsid w:val="45AB582B"/>
    <w:rsid w:val="45AC08C7"/>
    <w:rsid w:val="45B44292"/>
    <w:rsid w:val="45D16BF2"/>
    <w:rsid w:val="45D43FEC"/>
    <w:rsid w:val="45E22CC4"/>
    <w:rsid w:val="45EB4E75"/>
    <w:rsid w:val="45EE6851"/>
    <w:rsid w:val="46043E0F"/>
    <w:rsid w:val="46192347"/>
    <w:rsid w:val="461A3583"/>
    <w:rsid w:val="461D2CD4"/>
    <w:rsid w:val="46227477"/>
    <w:rsid w:val="46235F4B"/>
    <w:rsid w:val="46263E49"/>
    <w:rsid w:val="4629258A"/>
    <w:rsid w:val="463B22BD"/>
    <w:rsid w:val="46482F46"/>
    <w:rsid w:val="4651318A"/>
    <w:rsid w:val="465810C1"/>
    <w:rsid w:val="46696E2A"/>
    <w:rsid w:val="46900F5A"/>
    <w:rsid w:val="46CA4B69"/>
    <w:rsid w:val="46DD5122"/>
    <w:rsid w:val="46F11DA6"/>
    <w:rsid w:val="46FF2313"/>
    <w:rsid w:val="470A7B56"/>
    <w:rsid w:val="47124AF8"/>
    <w:rsid w:val="4722097D"/>
    <w:rsid w:val="47422D75"/>
    <w:rsid w:val="474F0760"/>
    <w:rsid w:val="474F0F53"/>
    <w:rsid w:val="476639B7"/>
    <w:rsid w:val="476846A5"/>
    <w:rsid w:val="47835CCA"/>
    <w:rsid w:val="478E41D8"/>
    <w:rsid w:val="479C061B"/>
    <w:rsid w:val="47C44EAB"/>
    <w:rsid w:val="47C46432"/>
    <w:rsid w:val="47E147AA"/>
    <w:rsid w:val="47F44E19"/>
    <w:rsid w:val="48293CA7"/>
    <w:rsid w:val="483075F9"/>
    <w:rsid w:val="48346F88"/>
    <w:rsid w:val="48480CC1"/>
    <w:rsid w:val="48482DA6"/>
    <w:rsid w:val="485112BB"/>
    <w:rsid w:val="486048C6"/>
    <w:rsid w:val="48A84F1E"/>
    <w:rsid w:val="48B71AC3"/>
    <w:rsid w:val="48BF5122"/>
    <w:rsid w:val="48D745A6"/>
    <w:rsid w:val="48F95033"/>
    <w:rsid w:val="4907280C"/>
    <w:rsid w:val="490E7DB7"/>
    <w:rsid w:val="4923580C"/>
    <w:rsid w:val="493D751E"/>
    <w:rsid w:val="49467B60"/>
    <w:rsid w:val="497373B9"/>
    <w:rsid w:val="49B22896"/>
    <w:rsid w:val="49B47BF9"/>
    <w:rsid w:val="49C25399"/>
    <w:rsid w:val="49CA5F7E"/>
    <w:rsid w:val="49D767A1"/>
    <w:rsid w:val="49E50EBD"/>
    <w:rsid w:val="49F205CA"/>
    <w:rsid w:val="49F704F3"/>
    <w:rsid w:val="4A25695D"/>
    <w:rsid w:val="4A4B417E"/>
    <w:rsid w:val="4A4C2CEB"/>
    <w:rsid w:val="4A5A0220"/>
    <w:rsid w:val="4A6B6D21"/>
    <w:rsid w:val="4A6D2420"/>
    <w:rsid w:val="4AA779BA"/>
    <w:rsid w:val="4AAB01D5"/>
    <w:rsid w:val="4AAF6DD6"/>
    <w:rsid w:val="4AAF77A5"/>
    <w:rsid w:val="4AC3105A"/>
    <w:rsid w:val="4AD36F68"/>
    <w:rsid w:val="4ADA20A4"/>
    <w:rsid w:val="4AEF3F40"/>
    <w:rsid w:val="4AF33166"/>
    <w:rsid w:val="4AFA44F5"/>
    <w:rsid w:val="4B0C247A"/>
    <w:rsid w:val="4B3113E2"/>
    <w:rsid w:val="4B337A07"/>
    <w:rsid w:val="4B340CCD"/>
    <w:rsid w:val="4B3F2845"/>
    <w:rsid w:val="4B5A79F9"/>
    <w:rsid w:val="4B6A25F7"/>
    <w:rsid w:val="4B883CA4"/>
    <w:rsid w:val="4B927411"/>
    <w:rsid w:val="4B9C43B3"/>
    <w:rsid w:val="4BB53362"/>
    <w:rsid w:val="4BC113EF"/>
    <w:rsid w:val="4BD77577"/>
    <w:rsid w:val="4BEB44CF"/>
    <w:rsid w:val="4BEE392E"/>
    <w:rsid w:val="4BF71023"/>
    <w:rsid w:val="4BFF6634"/>
    <w:rsid w:val="4C017B05"/>
    <w:rsid w:val="4C216E43"/>
    <w:rsid w:val="4C6F3E2D"/>
    <w:rsid w:val="4C8F3223"/>
    <w:rsid w:val="4C922B4B"/>
    <w:rsid w:val="4CC961F3"/>
    <w:rsid w:val="4CD926BB"/>
    <w:rsid w:val="4CE60012"/>
    <w:rsid w:val="4CF044C6"/>
    <w:rsid w:val="4D0F42F4"/>
    <w:rsid w:val="4D4D2167"/>
    <w:rsid w:val="4D530C09"/>
    <w:rsid w:val="4D593D0A"/>
    <w:rsid w:val="4D733283"/>
    <w:rsid w:val="4D781399"/>
    <w:rsid w:val="4D803B16"/>
    <w:rsid w:val="4D8E7176"/>
    <w:rsid w:val="4D9C1893"/>
    <w:rsid w:val="4DB447D1"/>
    <w:rsid w:val="4DC738AC"/>
    <w:rsid w:val="4DC73AAC"/>
    <w:rsid w:val="4DD22325"/>
    <w:rsid w:val="4DD639F4"/>
    <w:rsid w:val="4DDB54F4"/>
    <w:rsid w:val="4DE04318"/>
    <w:rsid w:val="4DE602DA"/>
    <w:rsid w:val="4DE80F7C"/>
    <w:rsid w:val="4DFE48A2"/>
    <w:rsid w:val="4E102281"/>
    <w:rsid w:val="4E276FA2"/>
    <w:rsid w:val="4E347D1E"/>
    <w:rsid w:val="4E39735E"/>
    <w:rsid w:val="4E621178"/>
    <w:rsid w:val="4E70457B"/>
    <w:rsid w:val="4E725292"/>
    <w:rsid w:val="4E7266AA"/>
    <w:rsid w:val="4E7D3E64"/>
    <w:rsid w:val="4E8A5B90"/>
    <w:rsid w:val="4E8D38D2"/>
    <w:rsid w:val="4EA463E4"/>
    <w:rsid w:val="4EB67001"/>
    <w:rsid w:val="4EBB49C0"/>
    <w:rsid w:val="4EBC0303"/>
    <w:rsid w:val="4EE22AED"/>
    <w:rsid w:val="4EE31809"/>
    <w:rsid w:val="4EE750CE"/>
    <w:rsid w:val="4F02756F"/>
    <w:rsid w:val="4F0778D5"/>
    <w:rsid w:val="4F162139"/>
    <w:rsid w:val="4F1B68B8"/>
    <w:rsid w:val="4F1D1BF9"/>
    <w:rsid w:val="4F1F21F4"/>
    <w:rsid w:val="4F2A1581"/>
    <w:rsid w:val="4F2B4BB1"/>
    <w:rsid w:val="4F300166"/>
    <w:rsid w:val="4F36132D"/>
    <w:rsid w:val="4F436796"/>
    <w:rsid w:val="4F532425"/>
    <w:rsid w:val="4F7E1A2C"/>
    <w:rsid w:val="4F952A3E"/>
    <w:rsid w:val="4F9E166B"/>
    <w:rsid w:val="4FA6437F"/>
    <w:rsid w:val="4FAC029F"/>
    <w:rsid w:val="4FC21359"/>
    <w:rsid w:val="4FC64284"/>
    <w:rsid w:val="4FCB136B"/>
    <w:rsid w:val="4FED082A"/>
    <w:rsid w:val="500D2819"/>
    <w:rsid w:val="50256636"/>
    <w:rsid w:val="50260E6B"/>
    <w:rsid w:val="502B5150"/>
    <w:rsid w:val="504F7CBD"/>
    <w:rsid w:val="50571E28"/>
    <w:rsid w:val="5076033E"/>
    <w:rsid w:val="507C3E61"/>
    <w:rsid w:val="507E1AAB"/>
    <w:rsid w:val="508E5E76"/>
    <w:rsid w:val="50B939A2"/>
    <w:rsid w:val="50C33C6A"/>
    <w:rsid w:val="50F23030"/>
    <w:rsid w:val="51051648"/>
    <w:rsid w:val="51136310"/>
    <w:rsid w:val="511432CD"/>
    <w:rsid w:val="51182B92"/>
    <w:rsid w:val="512E08FD"/>
    <w:rsid w:val="51391053"/>
    <w:rsid w:val="51431C84"/>
    <w:rsid w:val="514B3F6A"/>
    <w:rsid w:val="515D3A2F"/>
    <w:rsid w:val="516565A2"/>
    <w:rsid w:val="519C7EB8"/>
    <w:rsid w:val="519F0B03"/>
    <w:rsid w:val="51C13FBE"/>
    <w:rsid w:val="51DF76CC"/>
    <w:rsid w:val="52087DCC"/>
    <w:rsid w:val="52162E48"/>
    <w:rsid w:val="52282053"/>
    <w:rsid w:val="52382A79"/>
    <w:rsid w:val="529A036B"/>
    <w:rsid w:val="52A511EA"/>
    <w:rsid w:val="52AC5C1B"/>
    <w:rsid w:val="52B7716F"/>
    <w:rsid w:val="52DC2C99"/>
    <w:rsid w:val="52F57BC9"/>
    <w:rsid w:val="530A3AB2"/>
    <w:rsid w:val="532365B3"/>
    <w:rsid w:val="5324555A"/>
    <w:rsid w:val="532C5467"/>
    <w:rsid w:val="53367F96"/>
    <w:rsid w:val="535844AE"/>
    <w:rsid w:val="536D3690"/>
    <w:rsid w:val="53782A23"/>
    <w:rsid w:val="53834657"/>
    <w:rsid w:val="5386366B"/>
    <w:rsid w:val="538979E7"/>
    <w:rsid w:val="53936A9E"/>
    <w:rsid w:val="53C93203"/>
    <w:rsid w:val="53CD3EF5"/>
    <w:rsid w:val="53D10EA1"/>
    <w:rsid w:val="53D77C36"/>
    <w:rsid w:val="53ED6188"/>
    <w:rsid w:val="53F36631"/>
    <w:rsid w:val="54076176"/>
    <w:rsid w:val="5418272D"/>
    <w:rsid w:val="54395BDE"/>
    <w:rsid w:val="54482AC4"/>
    <w:rsid w:val="546B6463"/>
    <w:rsid w:val="54745318"/>
    <w:rsid w:val="54866DF9"/>
    <w:rsid w:val="54A47D95"/>
    <w:rsid w:val="54A71C51"/>
    <w:rsid w:val="54AE00FE"/>
    <w:rsid w:val="54B23854"/>
    <w:rsid w:val="54BE2761"/>
    <w:rsid w:val="54C772DE"/>
    <w:rsid w:val="54E83610"/>
    <w:rsid w:val="54E91BF3"/>
    <w:rsid w:val="54EA0D93"/>
    <w:rsid w:val="54EF2BF0"/>
    <w:rsid w:val="550A7A2A"/>
    <w:rsid w:val="550D5F00"/>
    <w:rsid w:val="55197C6D"/>
    <w:rsid w:val="55343B71"/>
    <w:rsid w:val="5539570B"/>
    <w:rsid w:val="55413F94"/>
    <w:rsid w:val="55515371"/>
    <w:rsid w:val="55681712"/>
    <w:rsid w:val="559D0976"/>
    <w:rsid w:val="55A30CE4"/>
    <w:rsid w:val="55A5052D"/>
    <w:rsid w:val="55AC4F6A"/>
    <w:rsid w:val="55B64093"/>
    <w:rsid w:val="56072B98"/>
    <w:rsid w:val="563568D4"/>
    <w:rsid w:val="56562DF1"/>
    <w:rsid w:val="56685B06"/>
    <w:rsid w:val="567973D9"/>
    <w:rsid w:val="56862BBB"/>
    <w:rsid w:val="56A30136"/>
    <w:rsid w:val="56C50D49"/>
    <w:rsid w:val="56D46542"/>
    <w:rsid w:val="56DA692F"/>
    <w:rsid w:val="56F37745"/>
    <w:rsid w:val="56FC3167"/>
    <w:rsid w:val="57114266"/>
    <w:rsid w:val="571A216C"/>
    <w:rsid w:val="57310906"/>
    <w:rsid w:val="57374D94"/>
    <w:rsid w:val="573F1B2F"/>
    <w:rsid w:val="576B22D6"/>
    <w:rsid w:val="57853B86"/>
    <w:rsid w:val="578551E6"/>
    <w:rsid w:val="57AC2359"/>
    <w:rsid w:val="57B1352D"/>
    <w:rsid w:val="57B43CF2"/>
    <w:rsid w:val="57B608AA"/>
    <w:rsid w:val="57B668D4"/>
    <w:rsid w:val="57DC624E"/>
    <w:rsid w:val="57E90CDF"/>
    <w:rsid w:val="57FA2A62"/>
    <w:rsid w:val="57FD3C3E"/>
    <w:rsid w:val="57FF20BF"/>
    <w:rsid w:val="580D7B6B"/>
    <w:rsid w:val="582C1B97"/>
    <w:rsid w:val="582D2039"/>
    <w:rsid w:val="58417B28"/>
    <w:rsid w:val="585D3ED4"/>
    <w:rsid w:val="58601833"/>
    <w:rsid w:val="587E102D"/>
    <w:rsid w:val="58835BB8"/>
    <w:rsid w:val="58A2000D"/>
    <w:rsid w:val="58AC45E5"/>
    <w:rsid w:val="58B8233A"/>
    <w:rsid w:val="58D108B3"/>
    <w:rsid w:val="590F1805"/>
    <w:rsid w:val="591D2415"/>
    <w:rsid w:val="591D5330"/>
    <w:rsid w:val="59266DF8"/>
    <w:rsid w:val="5927620B"/>
    <w:rsid w:val="593C09C7"/>
    <w:rsid w:val="59410D81"/>
    <w:rsid w:val="59633CAC"/>
    <w:rsid w:val="59650759"/>
    <w:rsid w:val="59C82464"/>
    <w:rsid w:val="59CD1026"/>
    <w:rsid w:val="59E02D0F"/>
    <w:rsid w:val="59EA0E76"/>
    <w:rsid w:val="5A180B14"/>
    <w:rsid w:val="5A1938A1"/>
    <w:rsid w:val="5A26381C"/>
    <w:rsid w:val="5A296E75"/>
    <w:rsid w:val="5A353A3D"/>
    <w:rsid w:val="5A354173"/>
    <w:rsid w:val="5A5D351A"/>
    <w:rsid w:val="5A8A45CD"/>
    <w:rsid w:val="5A8B537B"/>
    <w:rsid w:val="5A8E4C59"/>
    <w:rsid w:val="5AB3646E"/>
    <w:rsid w:val="5ACE604B"/>
    <w:rsid w:val="5AD240D0"/>
    <w:rsid w:val="5AD4700E"/>
    <w:rsid w:val="5AD86008"/>
    <w:rsid w:val="5AF754A6"/>
    <w:rsid w:val="5AFE1E47"/>
    <w:rsid w:val="5B0D3EE9"/>
    <w:rsid w:val="5B1909C7"/>
    <w:rsid w:val="5B1B252B"/>
    <w:rsid w:val="5B364A73"/>
    <w:rsid w:val="5B4041EF"/>
    <w:rsid w:val="5B524076"/>
    <w:rsid w:val="5B5E63DA"/>
    <w:rsid w:val="5B733565"/>
    <w:rsid w:val="5BA3791F"/>
    <w:rsid w:val="5BA9653E"/>
    <w:rsid w:val="5BB40DAC"/>
    <w:rsid w:val="5BCB5AD1"/>
    <w:rsid w:val="5BCD4A6F"/>
    <w:rsid w:val="5BD364A4"/>
    <w:rsid w:val="5BD73BB1"/>
    <w:rsid w:val="5BE34B31"/>
    <w:rsid w:val="5BFC3FB4"/>
    <w:rsid w:val="5C010D1F"/>
    <w:rsid w:val="5C042D9C"/>
    <w:rsid w:val="5C0C72FE"/>
    <w:rsid w:val="5C313AB0"/>
    <w:rsid w:val="5C3A5AD7"/>
    <w:rsid w:val="5C61111E"/>
    <w:rsid w:val="5C6F7205"/>
    <w:rsid w:val="5C8C341B"/>
    <w:rsid w:val="5C951E68"/>
    <w:rsid w:val="5C966047"/>
    <w:rsid w:val="5CA90B94"/>
    <w:rsid w:val="5CC91C25"/>
    <w:rsid w:val="5CDE45A2"/>
    <w:rsid w:val="5CED3EB9"/>
    <w:rsid w:val="5D0336DD"/>
    <w:rsid w:val="5D0E3E30"/>
    <w:rsid w:val="5D0F19BE"/>
    <w:rsid w:val="5D3358F8"/>
    <w:rsid w:val="5D36355C"/>
    <w:rsid w:val="5D482A58"/>
    <w:rsid w:val="5D606B04"/>
    <w:rsid w:val="5D7F3F61"/>
    <w:rsid w:val="5D8E69FF"/>
    <w:rsid w:val="5DA321B2"/>
    <w:rsid w:val="5DA65FB3"/>
    <w:rsid w:val="5DAD60F9"/>
    <w:rsid w:val="5DCD3CEB"/>
    <w:rsid w:val="5DF3595A"/>
    <w:rsid w:val="5DF36D07"/>
    <w:rsid w:val="5E1C0DE1"/>
    <w:rsid w:val="5E2F0501"/>
    <w:rsid w:val="5E53212A"/>
    <w:rsid w:val="5E536207"/>
    <w:rsid w:val="5E5E4794"/>
    <w:rsid w:val="5E624433"/>
    <w:rsid w:val="5E822388"/>
    <w:rsid w:val="5E834C37"/>
    <w:rsid w:val="5E8623F9"/>
    <w:rsid w:val="5E957426"/>
    <w:rsid w:val="5E9C045D"/>
    <w:rsid w:val="5EA10051"/>
    <w:rsid w:val="5EAD4360"/>
    <w:rsid w:val="5EB17168"/>
    <w:rsid w:val="5F1E35C8"/>
    <w:rsid w:val="5F3D3E88"/>
    <w:rsid w:val="5F77371E"/>
    <w:rsid w:val="5F7E45CE"/>
    <w:rsid w:val="5FA012DB"/>
    <w:rsid w:val="5FAD5310"/>
    <w:rsid w:val="5FB66778"/>
    <w:rsid w:val="60050B64"/>
    <w:rsid w:val="60284D10"/>
    <w:rsid w:val="602947B0"/>
    <w:rsid w:val="604638E0"/>
    <w:rsid w:val="60477D84"/>
    <w:rsid w:val="608858AC"/>
    <w:rsid w:val="60A77909"/>
    <w:rsid w:val="60C05C8B"/>
    <w:rsid w:val="60C30678"/>
    <w:rsid w:val="60CD4B8B"/>
    <w:rsid w:val="60D2057B"/>
    <w:rsid w:val="60E20F9A"/>
    <w:rsid w:val="60F04169"/>
    <w:rsid w:val="610C3BA0"/>
    <w:rsid w:val="61101B8D"/>
    <w:rsid w:val="61140731"/>
    <w:rsid w:val="61146296"/>
    <w:rsid w:val="611B4D6D"/>
    <w:rsid w:val="61290650"/>
    <w:rsid w:val="613A1654"/>
    <w:rsid w:val="61453BF0"/>
    <w:rsid w:val="615F2AF9"/>
    <w:rsid w:val="619C1A0A"/>
    <w:rsid w:val="61DA24CA"/>
    <w:rsid w:val="61DC44FC"/>
    <w:rsid w:val="61E37639"/>
    <w:rsid w:val="61ED4E53"/>
    <w:rsid w:val="620D0B5A"/>
    <w:rsid w:val="621243C2"/>
    <w:rsid w:val="622F287E"/>
    <w:rsid w:val="623C143F"/>
    <w:rsid w:val="624511ED"/>
    <w:rsid w:val="6250491B"/>
    <w:rsid w:val="62607804"/>
    <w:rsid w:val="627D7A8D"/>
    <w:rsid w:val="628878EC"/>
    <w:rsid w:val="62980E91"/>
    <w:rsid w:val="62B357FF"/>
    <w:rsid w:val="62C90F25"/>
    <w:rsid w:val="62F476A9"/>
    <w:rsid w:val="62FB4B03"/>
    <w:rsid w:val="631766DA"/>
    <w:rsid w:val="63376362"/>
    <w:rsid w:val="633F4786"/>
    <w:rsid w:val="63432EB2"/>
    <w:rsid w:val="636649C5"/>
    <w:rsid w:val="63822E81"/>
    <w:rsid w:val="63844E4C"/>
    <w:rsid w:val="63912DB3"/>
    <w:rsid w:val="63935CFD"/>
    <w:rsid w:val="639A15AD"/>
    <w:rsid w:val="63A33043"/>
    <w:rsid w:val="63A75207"/>
    <w:rsid w:val="63BC3461"/>
    <w:rsid w:val="63E16653"/>
    <w:rsid w:val="63FB0C7C"/>
    <w:rsid w:val="64251926"/>
    <w:rsid w:val="64292951"/>
    <w:rsid w:val="643F15DE"/>
    <w:rsid w:val="644B4267"/>
    <w:rsid w:val="64504D2E"/>
    <w:rsid w:val="645713E0"/>
    <w:rsid w:val="647274AA"/>
    <w:rsid w:val="6481078D"/>
    <w:rsid w:val="648411CE"/>
    <w:rsid w:val="64A633E6"/>
    <w:rsid w:val="64EA5182"/>
    <w:rsid w:val="64F63B27"/>
    <w:rsid w:val="64FC48FF"/>
    <w:rsid w:val="652D1697"/>
    <w:rsid w:val="652E2CA9"/>
    <w:rsid w:val="652E3ABA"/>
    <w:rsid w:val="654C7BEB"/>
    <w:rsid w:val="65592FB4"/>
    <w:rsid w:val="655B4C07"/>
    <w:rsid w:val="656376ED"/>
    <w:rsid w:val="65934F07"/>
    <w:rsid w:val="65A95B27"/>
    <w:rsid w:val="65B84176"/>
    <w:rsid w:val="65DD2460"/>
    <w:rsid w:val="65E70DA3"/>
    <w:rsid w:val="661C5B42"/>
    <w:rsid w:val="662D3578"/>
    <w:rsid w:val="665F1585"/>
    <w:rsid w:val="667733BA"/>
    <w:rsid w:val="668740E0"/>
    <w:rsid w:val="66B27318"/>
    <w:rsid w:val="66CC0BD2"/>
    <w:rsid w:val="66D12479"/>
    <w:rsid w:val="66DD28EC"/>
    <w:rsid w:val="66ED59C1"/>
    <w:rsid w:val="670B4C19"/>
    <w:rsid w:val="67242BCD"/>
    <w:rsid w:val="67293F19"/>
    <w:rsid w:val="67557992"/>
    <w:rsid w:val="676E21A8"/>
    <w:rsid w:val="67792D38"/>
    <w:rsid w:val="678469F8"/>
    <w:rsid w:val="678C6478"/>
    <w:rsid w:val="67B11F87"/>
    <w:rsid w:val="67B95027"/>
    <w:rsid w:val="67C14815"/>
    <w:rsid w:val="67DA2F95"/>
    <w:rsid w:val="67FF688B"/>
    <w:rsid w:val="685918AF"/>
    <w:rsid w:val="687514EA"/>
    <w:rsid w:val="68757459"/>
    <w:rsid w:val="689376AB"/>
    <w:rsid w:val="689A2F0D"/>
    <w:rsid w:val="68AF4719"/>
    <w:rsid w:val="68C95F61"/>
    <w:rsid w:val="68FB170C"/>
    <w:rsid w:val="68FD36D6"/>
    <w:rsid w:val="694B7001"/>
    <w:rsid w:val="69632281"/>
    <w:rsid w:val="696B46F3"/>
    <w:rsid w:val="697B28CF"/>
    <w:rsid w:val="697F233D"/>
    <w:rsid w:val="697F4259"/>
    <w:rsid w:val="69943E3C"/>
    <w:rsid w:val="69B1795B"/>
    <w:rsid w:val="69BD3AA2"/>
    <w:rsid w:val="69D93C80"/>
    <w:rsid w:val="69E1327D"/>
    <w:rsid w:val="69F82519"/>
    <w:rsid w:val="69FB7E6C"/>
    <w:rsid w:val="6A213475"/>
    <w:rsid w:val="6A22378F"/>
    <w:rsid w:val="6A6D00E0"/>
    <w:rsid w:val="6A77399B"/>
    <w:rsid w:val="6A773C3B"/>
    <w:rsid w:val="6A8F3B5F"/>
    <w:rsid w:val="6AAD553B"/>
    <w:rsid w:val="6AB809E9"/>
    <w:rsid w:val="6ABE2723"/>
    <w:rsid w:val="6ACE6DF7"/>
    <w:rsid w:val="6B056872"/>
    <w:rsid w:val="6B3532A3"/>
    <w:rsid w:val="6B4A73ED"/>
    <w:rsid w:val="6B4E4B7D"/>
    <w:rsid w:val="6B66542B"/>
    <w:rsid w:val="6B672053"/>
    <w:rsid w:val="6B766AF2"/>
    <w:rsid w:val="6BBA1514"/>
    <w:rsid w:val="6BBA6E02"/>
    <w:rsid w:val="6BE06068"/>
    <w:rsid w:val="6BE13ED9"/>
    <w:rsid w:val="6BE446D9"/>
    <w:rsid w:val="6BFA619E"/>
    <w:rsid w:val="6C0B010B"/>
    <w:rsid w:val="6C1C1F83"/>
    <w:rsid w:val="6C42619E"/>
    <w:rsid w:val="6C481017"/>
    <w:rsid w:val="6C5F0204"/>
    <w:rsid w:val="6C633EEC"/>
    <w:rsid w:val="6C692E30"/>
    <w:rsid w:val="6C703C37"/>
    <w:rsid w:val="6C8943B9"/>
    <w:rsid w:val="6C94135D"/>
    <w:rsid w:val="6C9656C7"/>
    <w:rsid w:val="6CA50E5C"/>
    <w:rsid w:val="6CB4178D"/>
    <w:rsid w:val="6CCC0371"/>
    <w:rsid w:val="6CDD1BC9"/>
    <w:rsid w:val="6CE077EA"/>
    <w:rsid w:val="6CF375B6"/>
    <w:rsid w:val="6D211363"/>
    <w:rsid w:val="6D320D67"/>
    <w:rsid w:val="6D4302A3"/>
    <w:rsid w:val="6D4D156A"/>
    <w:rsid w:val="6D4D6A4F"/>
    <w:rsid w:val="6D4D7F92"/>
    <w:rsid w:val="6D512242"/>
    <w:rsid w:val="6D570C9F"/>
    <w:rsid w:val="6D5D001E"/>
    <w:rsid w:val="6D5E2149"/>
    <w:rsid w:val="6D5E7031"/>
    <w:rsid w:val="6D980F43"/>
    <w:rsid w:val="6DA21317"/>
    <w:rsid w:val="6DB6118D"/>
    <w:rsid w:val="6DBE3230"/>
    <w:rsid w:val="6DBE4D0B"/>
    <w:rsid w:val="6DC02F24"/>
    <w:rsid w:val="6DC46387"/>
    <w:rsid w:val="6DD9086B"/>
    <w:rsid w:val="6DE817B2"/>
    <w:rsid w:val="6DEA1D4F"/>
    <w:rsid w:val="6DED7853"/>
    <w:rsid w:val="6DEE7A91"/>
    <w:rsid w:val="6DEF2770"/>
    <w:rsid w:val="6E01608A"/>
    <w:rsid w:val="6E131B0C"/>
    <w:rsid w:val="6E1F2BE6"/>
    <w:rsid w:val="6E8977BA"/>
    <w:rsid w:val="6EA82F45"/>
    <w:rsid w:val="6ECB1B80"/>
    <w:rsid w:val="6ED4764A"/>
    <w:rsid w:val="6EDD2019"/>
    <w:rsid w:val="6EE508AC"/>
    <w:rsid w:val="6EF9148B"/>
    <w:rsid w:val="6F140E20"/>
    <w:rsid w:val="6F2C2BE0"/>
    <w:rsid w:val="6F4D6A39"/>
    <w:rsid w:val="6F5A443A"/>
    <w:rsid w:val="6F63625D"/>
    <w:rsid w:val="6F68278A"/>
    <w:rsid w:val="6F685621"/>
    <w:rsid w:val="6F69580C"/>
    <w:rsid w:val="6F8E463A"/>
    <w:rsid w:val="6F9319C3"/>
    <w:rsid w:val="6FA31C43"/>
    <w:rsid w:val="6FBC28FE"/>
    <w:rsid w:val="6FC23174"/>
    <w:rsid w:val="6FCF4ABC"/>
    <w:rsid w:val="6FD74555"/>
    <w:rsid w:val="6FE80821"/>
    <w:rsid w:val="702E27AE"/>
    <w:rsid w:val="702E6CE4"/>
    <w:rsid w:val="70423CAA"/>
    <w:rsid w:val="704936EC"/>
    <w:rsid w:val="705903C9"/>
    <w:rsid w:val="70597A7B"/>
    <w:rsid w:val="706C59B0"/>
    <w:rsid w:val="70AC7790"/>
    <w:rsid w:val="70B14B75"/>
    <w:rsid w:val="70B45C2A"/>
    <w:rsid w:val="70BC2E53"/>
    <w:rsid w:val="70BF71F2"/>
    <w:rsid w:val="70CD0CBD"/>
    <w:rsid w:val="70D07922"/>
    <w:rsid w:val="70E03A28"/>
    <w:rsid w:val="70E606E7"/>
    <w:rsid w:val="70F27898"/>
    <w:rsid w:val="710077DB"/>
    <w:rsid w:val="71007C82"/>
    <w:rsid w:val="711A018F"/>
    <w:rsid w:val="712349D0"/>
    <w:rsid w:val="714E0FE6"/>
    <w:rsid w:val="717F3C90"/>
    <w:rsid w:val="71973C3D"/>
    <w:rsid w:val="71D334EE"/>
    <w:rsid w:val="720535FB"/>
    <w:rsid w:val="721E6BBB"/>
    <w:rsid w:val="7228531A"/>
    <w:rsid w:val="723E08BB"/>
    <w:rsid w:val="724759C2"/>
    <w:rsid w:val="727407C3"/>
    <w:rsid w:val="727660F1"/>
    <w:rsid w:val="72930E12"/>
    <w:rsid w:val="729358A5"/>
    <w:rsid w:val="72A44BC2"/>
    <w:rsid w:val="72AB350C"/>
    <w:rsid w:val="72DC3FDB"/>
    <w:rsid w:val="72DE681C"/>
    <w:rsid w:val="72EA12AA"/>
    <w:rsid w:val="72F50446"/>
    <w:rsid w:val="73125FD0"/>
    <w:rsid w:val="7344109D"/>
    <w:rsid w:val="734A17A8"/>
    <w:rsid w:val="736257F8"/>
    <w:rsid w:val="736C591A"/>
    <w:rsid w:val="737D0743"/>
    <w:rsid w:val="73873FA8"/>
    <w:rsid w:val="739F4F6B"/>
    <w:rsid w:val="73B24D9E"/>
    <w:rsid w:val="73DA4614"/>
    <w:rsid w:val="73DB4441"/>
    <w:rsid w:val="7417306C"/>
    <w:rsid w:val="742942F8"/>
    <w:rsid w:val="74470BDD"/>
    <w:rsid w:val="7465451D"/>
    <w:rsid w:val="747623DF"/>
    <w:rsid w:val="74A265AF"/>
    <w:rsid w:val="74AC6C9A"/>
    <w:rsid w:val="74CE5606"/>
    <w:rsid w:val="74DB7BF2"/>
    <w:rsid w:val="74E72511"/>
    <w:rsid w:val="74F81049"/>
    <w:rsid w:val="750563F1"/>
    <w:rsid w:val="750E766B"/>
    <w:rsid w:val="752F23D2"/>
    <w:rsid w:val="753C7334"/>
    <w:rsid w:val="75413D1C"/>
    <w:rsid w:val="756729C4"/>
    <w:rsid w:val="757C3BD5"/>
    <w:rsid w:val="75AE60A9"/>
    <w:rsid w:val="75C131A9"/>
    <w:rsid w:val="75C27023"/>
    <w:rsid w:val="75E72639"/>
    <w:rsid w:val="760B3D3B"/>
    <w:rsid w:val="760B7C8F"/>
    <w:rsid w:val="761A1F7F"/>
    <w:rsid w:val="76306433"/>
    <w:rsid w:val="763B583E"/>
    <w:rsid w:val="766B01D8"/>
    <w:rsid w:val="76810FF2"/>
    <w:rsid w:val="768225D5"/>
    <w:rsid w:val="76A865DF"/>
    <w:rsid w:val="76E07851"/>
    <w:rsid w:val="76E73DD3"/>
    <w:rsid w:val="76EF64A0"/>
    <w:rsid w:val="771B1C48"/>
    <w:rsid w:val="77690189"/>
    <w:rsid w:val="776B3DC1"/>
    <w:rsid w:val="77B2435D"/>
    <w:rsid w:val="77C9332F"/>
    <w:rsid w:val="77D42AC7"/>
    <w:rsid w:val="78314C2E"/>
    <w:rsid w:val="78380E2B"/>
    <w:rsid w:val="78393FFF"/>
    <w:rsid w:val="785A77F2"/>
    <w:rsid w:val="78650950"/>
    <w:rsid w:val="788104E4"/>
    <w:rsid w:val="78994A9D"/>
    <w:rsid w:val="78BE6F59"/>
    <w:rsid w:val="78C22C38"/>
    <w:rsid w:val="78C354DA"/>
    <w:rsid w:val="78D21D5D"/>
    <w:rsid w:val="78FD7581"/>
    <w:rsid w:val="79030169"/>
    <w:rsid w:val="79200E35"/>
    <w:rsid w:val="7920550B"/>
    <w:rsid w:val="79243870"/>
    <w:rsid w:val="792A3948"/>
    <w:rsid w:val="792C607E"/>
    <w:rsid w:val="793C39EE"/>
    <w:rsid w:val="79466AC6"/>
    <w:rsid w:val="79485042"/>
    <w:rsid w:val="795D1974"/>
    <w:rsid w:val="79724D81"/>
    <w:rsid w:val="79865B27"/>
    <w:rsid w:val="79CA2875"/>
    <w:rsid w:val="79D64248"/>
    <w:rsid w:val="79DD5E77"/>
    <w:rsid w:val="79E15B05"/>
    <w:rsid w:val="79F26192"/>
    <w:rsid w:val="79F956B4"/>
    <w:rsid w:val="7A0A5B82"/>
    <w:rsid w:val="7A0D74F1"/>
    <w:rsid w:val="7A1C19A1"/>
    <w:rsid w:val="7A2A10CD"/>
    <w:rsid w:val="7A2D0E46"/>
    <w:rsid w:val="7A3C5A14"/>
    <w:rsid w:val="7A4C3A75"/>
    <w:rsid w:val="7A5039A2"/>
    <w:rsid w:val="7A6A597D"/>
    <w:rsid w:val="7A81178F"/>
    <w:rsid w:val="7A84362B"/>
    <w:rsid w:val="7AA00B7E"/>
    <w:rsid w:val="7AA846C5"/>
    <w:rsid w:val="7B24304C"/>
    <w:rsid w:val="7B38234C"/>
    <w:rsid w:val="7B450D6E"/>
    <w:rsid w:val="7B562A98"/>
    <w:rsid w:val="7B5B744B"/>
    <w:rsid w:val="7B6273C9"/>
    <w:rsid w:val="7B7A3A10"/>
    <w:rsid w:val="7B9A05A5"/>
    <w:rsid w:val="7BA23C69"/>
    <w:rsid w:val="7BAE6632"/>
    <w:rsid w:val="7BB66D40"/>
    <w:rsid w:val="7BB75966"/>
    <w:rsid w:val="7BBC5849"/>
    <w:rsid w:val="7BD02646"/>
    <w:rsid w:val="7BD14A1C"/>
    <w:rsid w:val="7BE32963"/>
    <w:rsid w:val="7BE96CA3"/>
    <w:rsid w:val="7BEE4E56"/>
    <w:rsid w:val="7BF44140"/>
    <w:rsid w:val="7C044231"/>
    <w:rsid w:val="7C0755B5"/>
    <w:rsid w:val="7C1E4E6B"/>
    <w:rsid w:val="7C5B72C3"/>
    <w:rsid w:val="7C791005"/>
    <w:rsid w:val="7C8E5457"/>
    <w:rsid w:val="7C9921D2"/>
    <w:rsid w:val="7C9E092A"/>
    <w:rsid w:val="7C9E194E"/>
    <w:rsid w:val="7CB0344C"/>
    <w:rsid w:val="7CDD58D1"/>
    <w:rsid w:val="7D090AA9"/>
    <w:rsid w:val="7D1C68C6"/>
    <w:rsid w:val="7D20753B"/>
    <w:rsid w:val="7D2651D0"/>
    <w:rsid w:val="7D313B13"/>
    <w:rsid w:val="7D483EC6"/>
    <w:rsid w:val="7D4D5E56"/>
    <w:rsid w:val="7D4F1BCF"/>
    <w:rsid w:val="7D6E02A7"/>
    <w:rsid w:val="7D770182"/>
    <w:rsid w:val="7D792151"/>
    <w:rsid w:val="7D903E69"/>
    <w:rsid w:val="7D967D66"/>
    <w:rsid w:val="7D9C04CD"/>
    <w:rsid w:val="7DED52A0"/>
    <w:rsid w:val="7DFE1F4D"/>
    <w:rsid w:val="7E0B4D67"/>
    <w:rsid w:val="7E1C0016"/>
    <w:rsid w:val="7E284F59"/>
    <w:rsid w:val="7E296F55"/>
    <w:rsid w:val="7E2B6555"/>
    <w:rsid w:val="7E327F3F"/>
    <w:rsid w:val="7E3D6598"/>
    <w:rsid w:val="7E552AB9"/>
    <w:rsid w:val="7E797435"/>
    <w:rsid w:val="7E8226BD"/>
    <w:rsid w:val="7E8E6727"/>
    <w:rsid w:val="7EB34FA8"/>
    <w:rsid w:val="7EBD36F2"/>
    <w:rsid w:val="7ECA5DB3"/>
    <w:rsid w:val="7EDF693E"/>
    <w:rsid w:val="7F1B28E2"/>
    <w:rsid w:val="7F213609"/>
    <w:rsid w:val="7F34678E"/>
    <w:rsid w:val="7F4253D1"/>
    <w:rsid w:val="7F690496"/>
    <w:rsid w:val="7F7235B4"/>
    <w:rsid w:val="7F9D4686"/>
    <w:rsid w:val="7FC44AF6"/>
    <w:rsid w:val="7FD95332"/>
    <w:rsid w:val="7FE2638B"/>
    <w:rsid w:val="7FFF65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uiPriority="39" w:unhideWhenUsed="1" w:qFormat="1"/>
    <w:lsdException w:name="Normal Indent" w:qFormat="1"/>
    <w:lsdException w:name="annotation text" w:qFormat="1"/>
    <w:lsdException w:name="header" w:uiPriority="99" w:qFormat="1"/>
    <w:lsdException w:name="footer" w:qFormat="1"/>
    <w:lsdException w:name="caption" w:semiHidden="1" w:unhideWhenUsed="1" w:qFormat="1"/>
    <w:lsdException w:name="List Bullet 5" w:qFormat="1"/>
    <w:lsdException w:name="Title" w:qFormat="1"/>
    <w:lsdException w:name="Default Paragraph Font" w:qFormat="1"/>
    <w:lsdException w:name="Body Text" w:uiPriority="1" w:qFormat="1"/>
    <w:lsdException w:name="Body Text Indent" w:qFormat="1"/>
    <w:lsdException w:name="Subtitle" w:qFormat="1"/>
    <w:lsdException w:name="Body Text First Indent 2" w:qFormat="1"/>
    <w:lsdException w:name="Body Text 2" w:qFormat="1"/>
    <w:lsdException w:name="Body Text Indent 3"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12"/>
    <w:qFormat/>
    <w:pPr>
      <w:jc w:val="center"/>
    </w:pPr>
    <w:rPr>
      <w:rFonts w:ascii="Calibri" w:hAnsi="Calibri"/>
      <w:kern w:val="2"/>
      <w:sz w:val="21"/>
      <w:szCs w:val="21"/>
    </w:rPr>
  </w:style>
  <w:style w:type="paragraph" w:styleId="1">
    <w:name w:val="heading 1"/>
    <w:basedOn w:val="a"/>
    <w:next w:val="a"/>
    <w:link w:val="1Char"/>
    <w:qFormat/>
    <w:pPr>
      <w:keepNext/>
      <w:keepLines/>
      <w:spacing w:line="560" w:lineRule="exact"/>
      <w:jc w:val="left"/>
      <w:outlineLvl w:val="0"/>
    </w:pPr>
    <w:rPr>
      <w:rFonts w:ascii="Times New Roman" w:hAnsi="Times New Roman"/>
      <w:b/>
      <w:kern w:val="44"/>
      <w:sz w:val="32"/>
    </w:rPr>
  </w:style>
  <w:style w:type="paragraph" w:styleId="2">
    <w:name w:val="heading 2"/>
    <w:basedOn w:val="a"/>
    <w:next w:val="a"/>
    <w:link w:val="2Char"/>
    <w:qFormat/>
    <w:pPr>
      <w:keepNext/>
      <w:keepLines/>
      <w:spacing w:line="560" w:lineRule="exact"/>
      <w:jc w:val="left"/>
      <w:outlineLvl w:val="1"/>
    </w:pPr>
    <w:rPr>
      <w:rFonts w:ascii="Times New Roman" w:hAnsi="Times New Roman"/>
      <w:b/>
      <w:kern w:val="0"/>
      <w:sz w:val="28"/>
      <w:szCs w:val="20"/>
    </w:rPr>
  </w:style>
  <w:style w:type="paragraph" w:styleId="3">
    <w:name w:val="heading 3"/>
    <w:basedOn w:val="a"/>
    <w:next w:val="a"/>
    <w:link w:val="3Char"/>
    <w:qFormat/>
    <w:pPr>
      <w:snapToGrid w:val="0"/>
      <w:spacing w:line="560" w:lineRule="exact"/>
      <w:jc w:val="left"/>
      <w:outlineLvl w:val="2"/>
    </w:pPr>
    <w:rPr>
      <w:rFonts w:ascii="Times New Roman" w:hAnsi="Times New Roman"/>
      <w:b/>
      <w:bCs/>
      <w:kern w:val="0"/>
      <w:sz w:val="24"/>
      <w:szCs w:val="27"/>
    </w:rPr>
  </w:style>
  <w:style w:type="paragraph" w:styleId="4">
    <w:name w:val="heading 4"/>
    <w:basedOn w:val="a"/>
    <w:next w:val="a"/>
    <w:qFormat/>
    <w:pPr>
      <w:keepNext/>
      <w:keepLines/>
      <w:spacing w:line="560" w:lineRule="exact"/>
      <w:ind w:firstLineChars="200" w:firstLine="880"/>
      <w:jc w:val="left"/>
      <w:outlineLvl w:val="3"/>
    </w:pPr>
    <w:rPr>
      <w:rFonts w:ascii="Arial"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2">
    <w:name w:val="样式 正文11 + 首行缩进:  2 字符"/>
    <w:qFormat/>
    <w:pPr>
      <w:widowControl w:val="0"/>
      <w:spacing w:line="500" w:lineRule="exact"/>
      <w:ind w:firstLineChars="200" w:firstLine="560"/>
      <w:jc w:val="both"/>
    </w:pPr>
    <w:rPr>
      <w:rFonts w:ascii="宋体" w:hAnsi="宋体" w:cs="宋体"/>
      <w:color w:val="FF0000"/>
      <w:kern w:val="2"/>
      <w:sz w:val="28"/>
    </w:rPr>
  </w:style>
  <w:style w:type="paragraph" w:styleId="a3">
    <w:name w:val="annotation text"/>
    <w:basedOn w:val="a"/>
    <w:link w:val="Char"/>
    <w:qFormat/>
    <w:pPr>
      <w:widowControl w:val="0"/>
      <w:jc w:val="left"/>
    </w:pPr>
    <w:rPr>
      <w:szCs w:val="22"/>
    </w:rPr>
  </w:style>
  <w:style w:type="paragraph" w:styleId="a4">
    <w:name w:val="Body Text"/>
    <w:basedOn w:val="a"/>
    <w:next w:val="5"/>
    <w:uiPriority w:val="1"/>
    <w:qFormat/>
    <w:pPr>
      <w:spacing w:line="560" w:lineRule="exact"/>
      <w:ind w:firstLineChars="200" w:firstLine="883"/>
      <w:jc w:val="left"/>
    </w:pPr>
    <w:rPr>
      <w:rFonts w:ascii="Times New Roman" w:hAnsi="Times New Roman" w:cs="宋体"/>
      <w:sz w:val="24"/>
      <w:szCs w:val="28"/>
      <w:lang w:val="zh-CN" w:bidi="zh-CN"/>
    </w:rPr>
  </w:style>
  <w:style w:type="paragraph" w:styleId="5">
    <w:name w:val="List Bullet 5"/>
    <w:basedOn w:val="a"/>
    <w:qFormat/>
    <w:pPr>
      <w:numPr>
        <w:numId w:val="1"/>
      </w:numPr>
      <w:tabs>
        <w:tab w:val="left" w:pos="2040"/>
      </w:tabs>
    </w:pPr>
  </w:style>
  <w:style w:type="paragraph" w:styleId="a5">
    <w:name w:val="Body Text Indent"/>
    <w:basedOn w:val="a"/>
    <w:link w:val="Char0"/>
    <w:qFormat/>
    <w:pPr>
      <w:spacing w:after="120"/>
      <w:ind w:leftChars="200" w:left="420"/>
    </w:pPr>
  </w:style>
  <w:style w:type="paragraph" w:styleId="a6">
    <w:name w:val="footer"/>
    <w:basedOn w:val="a"/>
    <w:qFormat/>
    <w:pPr>
      <w:widowControl w:val="0"/>
      <w:tabs>
        <w:tab w:val="center" w:pos="4153"/>
        <w:tab w:val="right" w:pos="8306"/>
      </w:tabs>
      <w:snapToGrid w:val="0"/>
      <w:jc w:val="left"/>
    </w:pPr>
    <w:rPr>
      <w:rFonts w:ascii="Times New Roman" w:hAnsi="Times New Roman"/>
      <w:sz w:val="18"/>
      <w:szCs w:val="18"/>
    </w:rPr>
  </w:style>
  <w:style w:type="paragraph" w:styleId="a7">
    <w:name w:val="header"/>
    <w:basedOn w:val="a"/>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qFormat/>
  </w:style>
  <w:style w:type="paragraph" w:styleId="20">
    <w:name w:val="toc 2"/>
    <w:basedOn w:val="a"/>
    <w:next w:val="a"/>
    <w:uiPriority w:val="39"/>
    <w:unhideWhenUsed/>
    <w:qFormat/>
    <w:pPr>
      <w:widowControl w:val="0"/>
      <w:spacing w:line="420" w:lineRule="exact"/>
      <w:ind w:leftChars="200" w:left="200"/>
      <w:jc w:val="both"/>
    </w:pPr>
    <w:rPr>
      <w:rFonts w:ascii="Times New Roman" w:hAnsi="Times New Roman"/>
      <w:sz w:val="24"/>
      <w:szCs w:val="22"/>
    </w:rPr>
  </w:style>
  <w:style w:type="paragraph" w:styleId="21">
    <w:name w:val="Body Text 2"/>
    <w:basedOn w:val="a"/>
    <w:qFormat/>
    <w:pPr>
      <w:widowControl w:val="0"/>
      <w:spacing w:after="120" w:line="480" w:lineRule="auto"/>
      <w:jc w:val="both"/>
    </w:pPr>
    <w:rPr>
      <w:rFonts w:ascii="Times New Roman" w:hAnsi="Times New Roman"/>
      <w:szCs w:val="24"/>
    </w:rPr>
  </w:style>
  <w:style w:type="paragraph" w:styleId="a8">
    <w:name w:val="Normal (Web)"/>
    <w:basedOn w:val="a"/>
    <w:qFormat/>
    <w:pPr>
      <w:spacing w:before="100" w:beforeAutospacing="1" w:after="100" w:afterAutospacing="1"/>
      <w:jc w:val="left"/>
    </w:pPr>
    <w:rPr>
      <w:kern w:val="0"/>
      <w:sz w:val="24"/>
    </w:rPr>
  </w:style>
  <w:style w:type="paragraph" w:styleId="a9">
    <w:name w:val="Title"/>
    <w:basedOn w:val="a"/>
    <w:next w:val="a"/>
    <w:qFormat/>
    <w:pPr>
      <w:spacing w:before="240" w:after="60"/>
      <w:outlineLvl w:val="0"/>
    </w:pPr>
    <w:rPr>
      <w:rFonts w:ascii="Arial" w:hAnsi="Arial" w:cs="Arial"/>
      <w:b/>
      <w:bCs/>
      <w:sz w:val="32"/>
      <w:szCs w:val="32"/>
    </w:rPr>
  </w:style>
  <w:style w:type="paragraph" w:styleId="22">
    <w:name w:val="Body Text First Indent 2"/>
    <w:basedOn w:val="a5"/>
    <w:link w:val="2Char0"/>
    <w:qFormat/>
    <w:pPr>
      <w:ind w:firstLineChars="200" w:firstLine="420"/>
    </w:pPr>
  </w:style>
  <w:style w:type="table" w:styleId="aa">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标题 2 Char"/>
    <w:link w:val="2"/>
    <w:qFormat/>
    <w:rPr>
      <w:rFonts w:ascii="Times New Roman" w:eastAsia="宋体" w:hAnsi="Times New Roman"/>
      <w:b/>
      <w:sz w:val="28"/>
    </w:rPr>
  </w:style>
  <w:style w:type="character" w:customStyle="1" w:styleId="3Char">
    <w:name w:val="标题 3 Char"/>
    <w:link w:val="3"/>
    <w:qFormat/>
    <w:rPr>
      <w:rFonts w:ascii="Times New Roman" w:eastAsia="宋体" w:hAnsi="Times New Roman" w:cs="宋体" w:hint="default"/>
      <w:b/>
      <w:bCs/>
      <w:kern w:val="0"/>
      <w:sz w:val="24"/>
      <w:szCs w:val="27"/>
      <w:lang w:bidi="ar"/>
    </w:rPr>
  </w:style>
  <w:style w:type="character" w:customStyle="1" w:styleId="Char">
    <w:name w:val="批注文字 Char"/>
    <w:basedOn w:val="a0"/>
    <w:link w:val="a3"/>
    <w:qFormat/>
    <w:rPr>
      <w:rFonts w:ascii="Calibri" w:eastAsia="宋体" w:hAnsi="Calibri" w:cs="Times New Roman"/>
      <w:kern w:val="2"/>
      <w:sz w:val="21"/>
      <w:szCs w:val="22"/>
    </w:rPr>
  </w:style>
  <w:style w:type="character" w:customStyle="1" w:styleId="Char0">
    <w:name w:val="正文文本缩进 Char"/>
    <w:basedOn w:val="a0"/>
    <w:link w:val="a5"/>
    <w:qFormat/>
    <w:rPr>
      <w:rFonts w:ascii="Calibri" w:hAnsi="Calibri"/>
      <w:kern w:val="2"/>
      <w:sz w:val="21"/>
      <w:szCs w:val="21"/>
    </w:rPr>
  </w:style>
  <w:style w:type="character" w:customStyle="1" w:styleId="2Char0">
    <w:name w:val="正文首行缩进 2 Char"/>
    <w:basedOn w:val="Char0"/>
    <w:link w:val="22"/>
    <w:qFormat/>
    <w:rPr>
      <w:rFonts w:ascii="Calibri" w:hAnsi="Calibri"/>
      <w:kern w:val="2"/>
      <w:sz w:val="21"/>
      <w:szCs w:val="21"/>
    </w:rPr>
  </w:style>
  <w:style w:type="paragraph" w:customStyle="1" w:styleId="ab">
    <w:name w:val="文本"/>
    <w:basedOn w:val="a"/>
    <w:qFormat/>
    <w:pPr>
      <w:spacing w:line="560" w:lineRule="exact"/>
      <w:ind w:firstLineChars="200" w:firstLine="880"/>
      <w:jc w:val="both"/>
    </w:pPr>
    <w:rPr>
      <w:rFonts w:ascii="Times New Roman" w:hAnsi="Times New Roman" w:cs="华文细黑"/>
      <w:sz w:val="24"/>
      <w:szCs w:val="32"/>
      <w:lang w:val="zh-CN"/>
    </w:rPr>
  </w:style>
  <w:style w:type="paragraph" w:customStyle="1" w:styleId="ac">
    <w:name w:val="正文内容"/>
    <w:basedOn w:val="a"/>
    <w:qFormat/>
    <w:pPr>
      <w:spacing w:line="560" w:lineRule="exact"/>
      <w:ind w:firstLineChars="200" w:firstLine="200"/>
    </w:pPr>
  </w:style>
  <w:style w:type="character" w:customStyle="1" w:styleId="font31">
    <w:name w:val="font31"/>
    <w:basedOn w:val="a0"/>
    <w:qFormat/>
    <w:rPr>
      <w:rFonts w:ascii="宋体" w:eastAsia="宋体" w:hAnsi="宋体" w:cs="宋体" w:hint="eastAsia"/>
      <w:color w:val="000000"/>
      <w:sz w:val="16"/>
      <w:szCs w:val="16"/>
      <w:u w:val="none"/>
    </w:rPr>
  </w:style>
  <w:style w:type="character" w:customStyle="1" w:styleId="font41">
    <w:name w:val="font41"/>
    <w:basedOn w:val="a0"/>
    <w:qFormat/>
    <w:rPr>
      <w:rFonts w:ascii="Times New Roman" w:hAnsi="Times New Roman" w:cs="Times New Roman" w:hint="default"/>
      <w:color w:val="000000"/>
      <w:sz w:val="16"/>
      <w:szCs w:val="16"/>
      <w:u w:val="none"/>
    </w:rPr>
  </w:style>
  <w:style w:type="character" w:customStyle="1" w:styleId="font01">
    <w:name w:val="font01"/>
    <w:basedOn w:val="a0"/>
    <w:qFormat/>
    <w:rPr>
      <w:rFonts w:ascii="宋体" w:eastAsia="宋体" w:hAnsi="宋体" w:cs="宋体" w:hint="eastAsia"/>
      <w:color w:val="000000"/>
      <w:sz w:val="18"/>
      <w:szCs w:val="18"/>
      <w:u w:val="none"/>
    </w:rPr>
  </w:style>
  <w:style w:type="character" w:customStyle="1" w:styleId="font21">
    <w:name w:val="font21"/>
    <w:basedOn w:val="a0"/>
    <w:qFormat/>
    <w:rPr>
      <w:rFonts w:ascii="Times New Roman" w:hAnsi="Times New Roman" w:cs="Times New Roman" w:hint="default"/>
      <w:color w:val="000000"/>
      <w:sz w:val="18"/>
      <w:szCs w:val="18"/>
      <w:u w:val="none"/>
    </w:rPr>
  </w:style>
  <w:style w:type="character" w:customStyle="1" w:styleId="font61">
    <w:name w:val="font61"/>
    <w:basedOn w:val="a0"/>
    <w:qFormat/>
    <w:rPr>
      <w:rFonts w:ascii="Times New Roman" w:hAnsi="Times New Roman" w:cs="Times New Roman" w:hint="default"/>
      <w:color w:val="000000"/>
      <w:sz w:val="16"/>
      <w:szCs w:val="16"/>
      <w:u w:val="none"/>
    </w:rPr>
  </w:style>
  <w:style w:type="character" w:customStyle="1" w:styleId="font51">
    <w:name w:val="font51"/>
    <w:basedOn w:val="a0"/>
    <w:qFormat/>
    <w:rPr>
      <w:rFonts w:ascii="宋体" w:eastAsia="宋体" w:hAnsi="宋体" w:cs="宋体" w:hint="eastAsia"/>
      <w:color w:val="000000"/>
      <w:sz w:val="20"/>
      <w:szCs w:val="20"/>
      <w:u w:val="none"/>
    </w:rPr>
  </w:style>
  <w:style w:type="character" w:customStyle="1" w:styleId="font71">
    <w:name w:val="font71"/>
    <w:basedOn w:val="a0"/>
    <w:qFormat/>
    <w:rPr>
      <w:rFonts w:ascii="Times New Roman" w:hAnsi="Times New Roman" w:cs="Times New Roman" w:hint="default"/>
      <w:color w:val="000000"/>
      <w:sz w:val="20"/>
      <w:szCs w:val="20"/>
      <w:u w:val="none"/>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font11">
    <w:name w:val="font11"/>
    <w:basedOn w:val="a0"/>
    <w:qFormat/>
    <w:rPr>
      <w:rFonts w:ascii="Times New Roman" w:hAnsi="Times New Roman" w:cs="Times New Roman" w:hint="default"/>
      <w:color w:val="000000"/>
      <w:sz w:val="18"/>
      <w:szCs w:val="18"/>
      <w:u w:val="none"/>
    </w:rPr>
  </w:style>
  <w:style w:type="paragraph" w:customStyle="1" w:styleId="Other1">
    <w:name w:val="Other|1"/>
    <w:basedOn w:val="a"/>
    <w:qFormat/>
    <w:pPr>
      <w:widowControl w:val="0"/>
      <w:spacing w:line="353" w:lineRule="auto"/>
      <w:ind w:firstLine="400"/>
    </w:pPr>
    <w:rPr>
      <w:rFonts w:ascii="宋体" w:hAnsi="宋体" w:cs="宋体"/>
      <w:sz w:val="30"/>
      <w:szCs w:val="30"/>
      <w:lang w:val="zh-TW" w:eastAsia="zh-TW" w:bidi="zh-TW"/>
    </w:rPr>
  </w:style>
  <w:style w:type="paragraph" w:customStyle="1" w:styleId="Headerorfooter1">
    <w:name w:val="Header or footer|1"/>
    <w:basedOn w:val="a"/>
    <w:qFormat/>
    <w:pPr>
      <w:widowControl w:val="0"/>
    </w:pPr>
    <w:rPr>
      <w:sz w:val="19"/>
      <w:szCs w:val="19"/>
      <w:lang w:val="zh-TW" w:eastAsia="zh-TW" w:bidi="zh-TW"/>
    </w:rPr>
  </w:style>
  <w:style w:type="paragraph" w:customStyle="1" w:styleId="WPSOffice1">
    <w:name w:val="WPSOffice手动目录 1"/>
    <w:qFormat/>
  </w:style>
  <w:style w:type="character" w:customStyle="1" w:styleId="NormalCharacter">
    <w:name w:val="NormalCharacter"/>
    <w:qFormat/>
  </w:style>
  <w:style w:type="paragraph" w:customStyle="1" w:styleId="ad">
    <w:name w:val="表文字"/>
    <w:qFormat/>
    <w:pPr>
      <w:spacing w:line="360" w:lineRule="auto"/>
    </w:pPr>
    <w:rPr>
      <w:rFonts w:ascii="Arial" w:hAnsi="Arial"/>
      <w:sz w:val="21"/>
    </w:rPr>
  </w:style>
  <w:style w:type="paragraph" w:customStyle="1" w:styleId="ae">
    <w:name w:val="(文字) (文字)"/>
    <w:basedOn w:val="a"/>
    <w:qFormat/>
    <w:rPr>
      <w:szCs w:val="20"/>
    </w:rPr>
  </w:style>
  <w:style w:type="table" w:customStyle="1" w:styleId="TableNormal">
    <w:name w:val="Table Normal"/>
    <w:unhideWhenUsed/>
    <w:qFormat/>
    <w:tblPr>
      <w:tblCellMar>
        <w:top w:w="0" w:type="dxa"/>
        <w:left w:w="0" w:type="dxa"/>
        <w:bottom w:w="0" w:type="dxa"/>
        <w:right w:w="0" w:type="dxa"/>
      </w:tblCellMar>
    </w:tblPr>
  </w:style>
  <w:style w:type="paragraph" w:customStyle="1" w:styleId="af">
    <w:name w:val="标准格式"/>
    <w:basedOn w:val="a"/>
    <w:qFormat/>
    <w:pPr>
      <w:spacing w:line="360" w:lineRule="auto"/>
      <w:ind w:firstLine="480"/>
    </w:pPr>
    <w:rPr>
      <w:kern w:val="1"/>
      <w:sz w:val="24"/>
    </w:rPr>
  </w:style>
  <w:style w:type="character" w:customStyle="1" w:styleId="1Char">
    <w:name w:val="标题 1 Char"/>
    <w:link w:val="1"/>
    <w:qFormat/>
    <w:rPr>
      <w:rFonts w:ascii="Times New Roman" w:eastAsia="宋体" w:hAnsi="Times New Roman"/>
      <w:b/>
      <w:kern w:val="44"/>
      <w:sz w:val="32"/>
    </w:rPr>
  </w:style>
  <w:style w:type="paragraph" w:styleId="af0">
    <w:name w:val="Balloon Text"/>
    <w:basedOn w:val="a"/>
    <w:link w:val="Char1"/>
    <w:rsid w:val="0090536A"/>
    <w:rPr>
      <w:sz w:val="18"/>
      <w:szCs w:val="18"/>
    </w:rPr>
  </w:style>
  <w:style w:type="character" w:customStyle="1" w:styleId="Char1">
    <w:name w:val="批注框文本 Char"/>
    <w:basedOn w:val="a0"/>
    <w:link w:val="af0"/>
    <w:rsid w:val="0090536A"/>
    <w:rPr>
      <w:rFonts w:ascii="Calibri" w:hAnsi="Calibri"/>
      <w:kern w:val="2"/>
      <w:sz w:val="18"/>
      <w:szCs w:val="18"/>
    </w:rPr>
  </w:style>
  <w:style w:type="paragraph" w:styleId="af1">
    <w:name w:val="Date"/>
    <w:basedOn w:val="a"/>
    <w:next w:val="a"/>
    <w:link w:val="Char2"/>
    <w:rsid w:val="00F74FB3"/>
    <w:pPr>
      <w:ind w:leftChars="2500" w:left="100"/>
    </w:pPr>
  </w:style>
  <w:style w:type="character" w:customStyle="1" w:styleId="Char2">
    <w:name w:val="日期 Char"/>
    <w:basedOn w:val="a0"/>
    <w:link w:val="af1"/>
    <w:rsid w:val="00F74FB3"/>
    <w:rPr>
      <w:rFonts w:ascii="Calibri" w:hAnsi="Calibri"/>
      <w:kern w:val="2"/>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uiPriority="39" w:unhideWhenUsed="1" w:qFormat="1"/>
    <w:lsdException w:name="Normal Indent" w:qFormat="1"/>
    <w:lsdException w:name="annotation text" w:qFormat="1"/>
    <w:lsdException w:name="header" w:uiPriority="99" w:qFormat="1"/>
    <w:lsdException w:name="footer" w:qFormat="1"/>
    <w:lsdException w:name="caption" w:semiHidden="1" w:unhideWhenUsed="1" w:qFormat="1"/>
    <w:lsdException w:name="List Bullet 5" w:qFormat="1"/>
    <w:lsdException w:name="Title" w:qFormat="1"/>
    <w:lsdException w:name="Default Paragraph Font" w:qFormat="1"/>
    <w:lsdException w:name="Body Text" w:uiPriority="1" w:qFormat="1"/>
    <w:lsdException w:name="Body Text Indent" w:qFormat="1"/>
    <w:lsdException w:name="Subtitle" w:qFormat="1"/>
    <w:lsdException w:name="Body Text First Indent 2" w:qFormat="1"/>
    <w:lsdException w:name="Body Text 2" w:qFormat="1"/>
    <w:lsdException w:name="Body Text Indent 3"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12"/>
    <w:qFormat/>
    <w:pPr>
      <w:jc w:val="center"/>
    </w:pPr>
    <w:rPr>
      <w:rFonts w:ascii="Calibri" w:hAnsi="Calibri"/>
      <w:kern w:val="2"/>
      <w:sz w:val="21"/>
      <w:szCs w:val="21"/>
    </w:rPr>
  </w:style>
  <w:style w:type="paragraph" w:styleId="1">
    <w:name w:val="heading 1"/>
    <w:basedOn w:val="a"/>
    <w:next w:val="a"/>
    <w:link w:val="1Char"/>
    <w:qFormat/>
    <w:pPr>
      <w:keepNext/>
      <w:keepLines/>
      <w:spacing w:line="560" w:lineRule="exact"/>
      <w:jc w:val="left"/>
      <w:outlineLvl w:val="0"/>
    </w:pPr>
    <w:rPr>
      <w:rFonts w:ascii="Times New Roman" w:hAnsi="Times New Roman"/>
      <w:b/>
      <w:kern w:val="44"/>
      <w:sz w:val="32"/>
    </w:rPr>
  </w:style>
  <w:style w:type="paragraph" w:styleId="2">
    <w:name w:val="heading 2"/>
    <w:basedOn w:val="a"/>
    <w:next w:val="a"/>
    <w:link w:val="2Char"/>
    <w:qFormat/>
    <w:pPr>
      <w:keepNext/>
      <w:keepLines/>
      <w:spacing w:line="560" w:lineRule="exact"/>
      <w:jc w:val="left"/>
      <w:outlineLvl w:val="1"/>
    </w:pPr>
    <w:rPr>
      <w:rFonts w:ascii="Times New Roman" w:hAnsi="Times New Roman"/>
      <w:b/>
      <w:kern w:val="0"/>
      <w:sz w:val="28"/>
      <w:szCs w:val="20"/>
    </w:rPr>
  </w:style>
  <w:style w:type="paragraph" w:styleId="3">
    <w:name w:val="heading 3"/>
    <w:basedOn w:val="a"/>
    <w:next w:val="a"/>
    <w:link w:val="3Char"/>
    <w:qFormat/>
    <w:pPr>
      <w:snapToGrid w:val="0"/>
      <w:spacing w:line="560" w:lineRule="exact"/>
      <w:jc w:val="left"/>
      <w:outlineLvl w:val="2"/>
    </w:pPr>
    <w:rPr>
      <w:rFonts w:ascii="Times New Roman" w:hAnsi="Times New Roman"/>
      <w:b/>
      <w:bCs/>
      <w:kern w:val="0"/>
      <w:sz w:val="24"/>
      <w:szCs w:val="27"/>
    </w:rPr>
  </w:style>
  <w:style w:type="paragraph" w:styleId="4">
    <w:name w:val="heading 4"/>
    <w:basedOn w:val="a"/>
    <w:next w:val="a"/>
    <w:qFormat/>
    <w:pPr>
      <w:keepNext/>
      <w:keepLines/>
      <w:spacing w:line="560" w:lineRule="exact"/>
      <w:ind w:firstLineChars="200" w:firstLine="880"/>
      <w:jc w:val="left"/>
      <w:outlineLvl w:val="3"/>
    </w:pPr>
    <w:rPr>
      <w:rFonts w:ascii="Arial"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2">
    <w:name w:val="样式 正文11 + 首行缩进:  2 字符"/>
    <w:qFormat/>
    <w:pPr>
      <w:widowControl w:val="0"/>
      <w:spacing w:line="500" w:lineRule="exact"/>
      <w:ind w:firstLineChars="200" w:firstLine="560"/>
      <w:jc w:val="both"/>
    </w:pPr>
    <w:rPr>
      <w:rFonts w:ascii="宋体" w:hAnsi="宋体" w:cs="宋体"/>
      <w:color w:val="FF0000"/>
      <w:kern w:val="2"/>
      <w:sz w:val="28"/>
    </w:rPr>
  </w:style>
  <w:style w:type="paragraph" w:styleId="a3">
    <w:name w:val="annotation text"/>
    <w:basedOn w:val="a"/>
    <w:link w:val="Char"/>
    <w:qFormat/>
    <w:pPr>
      <w:widowControl w:val="0"/>
      <w:jc w:val="left"/>
    </w:pPr>
    <w:rPr>
      <w:szCs w:val="22"/>
    </w:rPr>
  </w:style>
  <w:style w:type="paragraph" w:styleId="a4">
    <w:name w:val="Body Text"/>
    <w:basedOn w:val="a"/>
    <w:next w:val="5"/>
    <w:uiPriority w:val="1"/>
    <w:qFormat/>
    <w:pPr>
      <w:spacing w:line="560" w:lineRule="exact"/>
      <w:ind w:firstLineChars="200" w:firstLine="883"/>
      <w:jc w:val="left"/>
    </w:pPr>
    <w:rPr>
      <w:rFonts w:ascii="Times New Roman" w:hAnsi="Times New Roman" w:cs="宋体"/>
      <w:sz w:val="24"/>
      <w:szCs w:val="28"/>
      <w:lang w:val="zh-CN" w:bidi="zh-CN"/>
    </w:rPr>
  </w:style>
  <w:style w:type="paragraph" w:styleId="5">
    <w:name w:val="List Bullet 5"/>
    <w:basedOn w:val="a"/>
    <w:qFormat/>
    <w:pPr>
      <w:numPr>
        <w:numId w:val="1"/>
      </w:numPr>
      <w:tabs>
        <w:tab w:val="left" w:pos="2040"/>
      </w:tabs>
    </w:pPr>
  </w:style>
  <w:style w:type="paragraph" w:styleId="a5">
    <w:name w:val="Body Text Indent"/>
    <w:basedOn w:val="a"/>
    <w:link w:val="Char0"/>
    <w:qFormat/>
    <w:pPr>
      <w:spacing w:after="120"/>
      <w:ind w:leftChars="200" w:left="420"/>
    </w:pPr>
  </w:style>
  <w:style w:type="paragraph" w:styleId="a6">
    <w:name w:val="footer"/>
    <w:basedOn w:val="a"/>
    <w:qFormat/>
    <w:pPr>
      <w:widowControl w:val="0"/>
      <w:tabs>
        <w:tab w:val="center" w:pos="4153"/>
        <w:tab w:val="right" w:pos="8306"/>
      </w:tabs>
      <w:snapToGrid w:val="0"/>
      <w:jc w:val="left"/>
    </w:pPr>
    <w:rPr>
      <w:rFonts w:ascii="Times New Roman" w:hAnsi="Times New Roman"/>
      <w:sz w:val="18"/>
      <w:szCs w:val="18"/>
    </w:rPr>
  </w:style>
  <w:style w:type="paragraph" w:styleId="a7">
    <w:name w:val="header"/>
    <w:basedOn w:val="a"/>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qFormat/>
  </w:style>
  <w:style w:type="paragraph" w:styleId="20">
    <w:name w:val="toc 2"/>
    <w:basedOn w:val="a"/>
    <w:next w:val="a"/>
    <w:uiPriority w:val="39"/>
    <w:unhideWhenUsed/>
    <w:qFormat/>
    <w:pPr>
      <w:widowControl w:val="0"/>
      <w:spacing w:line="420" w:lineRule="exact"/>
      <w:ind w:leftChars="200" w:left="200"/>
      <w:jc w:val="both"/>
    </w:pPr>
    <w:rPr>
      <w:rFonts w:ascii="Times New Roman" w:hAnsi="Times New Roman"/>
      <w:sz w:val="24"/>
      <w:szCs w:val="22"/>
    </w:rPr>
  </w:style>
  <w:style w:type="paragraph" w:styleId="21">
    <w:name w:val="Body Text 2"/>
    <w:basedOn w:val="a"/>
    <w:qFormat/>
    <w:pPr>
      <w:widowControl w:val="0"/>
      <w:spacing w:after="120" w:line="480" w:lineRule="auto"/>
      <w:jc w:val="both"/>
    </w:pPr>
    <w:rPr>
      <w:rFonts w:ascii="Times New Roman" w:hAnsi="Times New Roman"/>
      <w:szCs w:val="24"/>
    </w:rPr>
  </w:style>
  <w:style w:type="paragraph" w:styleId="a8">
    <w:name w:val="Normal (Web)"/>
    <w:basedOn w:val="a"/>
    <w:qFormat/>
    <w:pPr>
      <w:spacing w:before="100" w:beforeAutospacing="1" w:after="100" w:afterAutospacing="1"/>
      <w:jc w:val="left"/>
    </w:pPr>
    <w:rPr>
      <w:kern w:val="0"/>
      <w:sz w:val="24"/>
    </w:rPr>
  </w:style>
  <w:style w:type="paragraph" w:styleId="a9">
    <w:name w:val="Title"/>
    <w:basedOn w:val="a"/>
    <w:next w:val="a"/>
    <w:qFormat/>
    <w:pPr>
      <w:spacing w:before="240" w:after="60"/>
      <w:outlineLvl w:val="0"/>
    </w:pPr>
    <w:rPr>
      <w:rFonts w:ascii="Arial" w:hAnsi="Arial" w:cs="Arial"/>
      <w:b/>
      <w:bCs/>
      <w:sz w:val="32"/>
      <w:szCs w:val="32"/>
    </w:rPr>
  </w:style>
  <w:style w:type="paragraph" w:styleId="22">
    <w:name w:val="Body Text First Indent 2"/>
    <w:basedOn w:val="a5"/>
    <w:link w:val="2Char0"/>
    <w:qFormat/>
    <w:pPr>
      <w:ind w:firstLineChars="200" w:firstLine="420"/>
    </w:pPr>
  </w:style>
  <w:style w:type="table" w:styleId="aa">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标题 2 Char"/>
    <w:link w:val="2"/>
    <w:qFormat/>
    <w:rPr>
      <w:rFonts w:ascii="Times New Roman" w:eastAsia="宋体" w:hAnsi="Times New Roman"/>
      <w:b/>
      <w:sz w:val="28"/>
    </w:rPr>
  </w:style>
  <w:style w:type="character" w:customStyle="1" w:styleId="3Char">
    <w:name w:val="标题 3 Char"/>
    <w:link w:val="3"/>
    <w:qFormat/>
    <w:rPr>
      <w:rFonts w:ascii="Times New Roman" w:eastAsia="宋体" w:hAnsi="Times New Roman" w:cs="宋体" w:hint="default"/>
      <w:b/>
      <w:bCs/>
      <w:kern w:val="0"/>
      <w:sz w:val="24"/>
      <w:szCs w:val="27"/>
      <w:lang w:bidi="ar"/>
    </w:rPr>
  </w:style>
  <w:style w:type="character" w:customStyle="1" w:styleId="Char">
    <w:name w:val="批注文字 Char"/>
    <w:basedOn w:val="a0"/>
    <w:link w:val="a3"/>
    <w:qFormat/>
    <w:rPr>
      <w:rFonts w:ascii="Calibri" w:eastAsia="宋体" w:hAnsi="Calibri" w:cs="Times New Roman"/>
      <w:kern w:val="2"/>
      <w:sz w:val="21"/>
      <w:szCs w:val="22"/>
    </w:rPr>
  </w:style>
  <w:style w:type="character" w:customStyle="1" w:styleId="Char0">
    <w:name w:val="正文文本缩进 Char"/>
    <w:basedOn w:val="a0"/>
    <w:link w:val="a5"/>
    <w:qFormat/>
    <w:rPr>
      <w:rFonts w:ascii="Calibri" w:hAnsi="Calibri"/>
      <w:kern w:val="2"/>
      <w:sz w:val="21"/>
      <w:szCs w:val="21"/>
    </w:rPr>
  </w:style>
  <w:style w:type="character" w:customStyle="1" w:styleId="2Char0">
    <w:name w:val="正文首行缩进 2 Char"/>
    <w:basedOn w:val="Char0"/>
    <w:link w:val="22"/>
    <w:qFormat/>
    <w:rPr>
      <w:rFonts w:ascii="Calibri" w:hAnsi="Calibri"/>
      <w:kern w:val="2"/>
      <w:sz w:val="21"/>
      <w:szCs w:val="21"/>
    </w:rPr>
  </w:style>
  <w:style w:type="paragraph" w:customStyle="1" w:styleId="ab">
    <w:name w:val="文本"/>
    <w:basedOn w:val="a"/>
    <w:qFormat/>
    <w:pPr>
      <w:spacing w:line="560" w:lineRule="exact"/>
      <w:ind w:firstLineChars="200" w:firstLine="880"/>
      <w:jc w:val="both"/>
    </w:pPr>
    <w:rPr>
      <w:rFonts w:ascii="Times New Roman" w:hAnsi="Times New Roman" w:cs="华文细黑"/>
      <w:sz w:val="24"/>
      <w:szCs w:val="32"/>
      <w:lang w:val="zh-CN"/>
    </w:rPr>
  </w:style>
  <w:style w:type="paragraph" w:customStyle="1" w:styleId="ac">
    <w:name w:val="正文内容"/>
    <w:basedOn w:val="a"/>
    <w:qFormat/>
    <w:pPr>
      <w:spacing w:line="560" w:lineRule="exact"/>
      <w:ind w:firstLineChars="200" w:firstLine="200"/>
    </w:pPr>
  </w:style>
  <w:style w:type="character" w:customStyle="1" w:styleId="font31">
    <w:name w:val="font31"/>
    <w:basedOn w:val="a0"/>
    <w:qFormat/>
    <w:rPr>
      <w:rFonts w:ascii="宋体" w:eastAsia="宋体" w:hAnsi="宋体" w:cs="宋体" w:hint="eastAsia"/>
      <w:color w:val="000000"/>
      <w:sz w:val="16"/>
      <w:szCs w:val="16"/>
      <w:u w:val="none"/>
    </w:rPr>
  </w:style>
  <w:style w:type="character" w:customStyle="1" w:styleId="font41">
    <w:name w:val="font41"/>
    <w:basedOn w:val="a0"/>
    <w:qFormat/>
    <w:rPr>
      <w:rFonts w:ascii="Times New Roman" w:hAnsi="Times New Roman" w:cs="Times New Roman" w:hint="default"/>
      <w:color w:val="000000"/>
      <w:sz w:val="16"/>
      <w:szCs w:val="16"/>
      <w:u w:val="none"/>
    </w:rPr>
  </w:style>
  <w:style w:type="character" w:customStyle="1" w:styleId="font01">
    <w:name w:val="font01"/>
    <w:basedOn w:val="a0"/>
    <w:qFormat/>
    <w:rPr>
      <w:rFonts w:ascii="宋体" w:eastAsia="宋体" w:hAnsi="宋体" w:cs="宋体" w:hint="eastAsia"/>
      <w:color w:val="000000"/>
      <w:sz w:val="18"/>
      <w:szCs w:val="18"/>
      <w:u w:val="none"/>
    </w:rPr>
  </w:style>
  <w:style w:type="character" w:customStyle="1" w:styleId="font21">
    <w:name w:val="font21"/>
    <w:basedOn w:val="a0"/>
    <w:qFormat/>
    <w:rPr>
      <w:rFonts w:ascii="Times New Roman" w:hAnsi="Times New Roman" w:cs="Times New Roman" w:hint="default"/>
      <w:color w:val="000000"/>
      <w:sz w:val="18"/>
      <w:szCs w:val="18"/>
      <w:u w:val="none"/>
    </w:rPr>
  </w:style>
  <w:style w:type="character" w:customStyle="1" w:styleId="font61">
    <w:name w:val="font61"/>
    <w:basedOn w:val="a0"/>
    <w:qFormat/>
    <w:rPr>
      <w:rFonts w:ascii="Times New Roman" w:hAnsi="Times New Roman" w:cs="Times New Roman" w:hint="default"/>
      <w:color w:val="000000"/>
      <w:sz w:val="16"/>
      <w:szCs w:val="16"/>
      <w:u w:val="none"/>
    </w:rPr>
  </w:style>
  <w:style w:type="character" w:customStyle="1" w:styleId="font51">
    <w:name w:val="font51"/>
    <w:basedOn w:val="a0"/>
    <w:qFormat/>
    <w:rPr>
      <w:rFonts w:ascii="宋体" w:eastAsia="宋体" w:hAnsi="宋体" w:cs="宋体" w:hint="eastAsia"/>
      <w:color w:val="000000"/>
      <w:sz w:val="20"/>
      <w:szCs w:val="20"/>
      <w:u w:val="none"/>
    </w:rPr>
  </w:style>
  <w:style w:type="character" w:customStyle="1" w:styleId="font71">
    <w:name w:val="font71"/>
    <w:basedOn w:val="a0"/>
    <w:qFormat/>
    <w:rPr>
      <w:rFonts w:ascii="Times New Roman" w:hAnsi="Times New Roman" w:cs="Times New Roman" w:hint="default"/>
      <w:color w:val="000000"/>
      <w:sz w:val="20"/>
      <w:szCs w:val="20"/>
      <w:u w:val="none"/>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font11">
    <w:name w:val="font11"/>
    <w:basedOn w:val="a0"/>
    <w:qFormat/>
    <w:rPr>
      <w:rFonts w:ascii="Times New Roman" w:hAnsi="Times New Roman" w:cs="Times New Roman" w:hint="default"/>
      <w:color w:val="000000"/>
      <w:sz w:val="18"/>
      <w:szCs w:val="18"/>
      <w:u w:val="none"/>
    </w:rPr>
  </w:style>
  <w:style w:type="paragraph" w:customStyle="1" w:styleId="Other1">
    <w:name w:val="Other|1"/>
    <w:basedOn w:val="a"/>
    <w:qFormat/>
    <w:pPr>
      <w:widowControl w:val="0"/>
      <w:spacing w:line="353" w:lineRule="auto"/>
      <w:ind w:firstLine="400"/>
    </w:pPr>
    <w:rPr>
      <w:rFonts w:ascii="宋体" w:hAnsi="宋体" w:cs="宋体"/>
      <w:sz w:val="30"/>
      <w:szCs w:val="30"/>
      <w:lang w:val="zh-TW" w:eastAsia="zh-TW" w:bidi="zh-TW"/>
    </w:rPr>
  </w:style>
  <w:style w:type="paragraph" w:customStyle="1" w:styleId="Headerorfooter1">
    <w:name w:val="Header or footer|1"/>
    <w:basedOn w:val="a"/>
    <w:qFormat/>
    <w:pPr>
      <w:widowControl w:val="0"/>
    </w:pPr>
    <w:rPr>
      <w:sz w:val="19"/>
      <w:szCs w:val="19"/>
      <w:lang w:val="zh-TW" w:eastAsia="zh-TW" w:bidi="zh-TW"/>
    </w:rPr>
  </w:style>
  <w:style w:type="paragraph" w:customStyle="1" w:styleId="WPSOffice1">
    <w:name w:val="WPSOffice手动目录 1"/>
    <w:qFormat/>
  </w:style>
  <w:style w:type="character" w:customStyle="1" w:styleId="NormalCharacter">
    <w:name w:val="NormalCharacter"/>
    <w:qFormat/>
  </w:style>
  <w:style w:type="paragraph" w:customStyle="1" w:styleId="ad">
    <w:name w:val="表文字"/>
    <w:qFormat/>
    <w:pPr>
      <w:spacing w:line="360" w:lineRule="auto"/>
    </w:pPr>
    <w:rPr>
      <w:rFonts w:ascii="Arial" w:hAnsi="Arial"/>
      <w:sz w:val="21"/>
    </w:rPr>
  </w:style>
  <w:style w:type="paragraph" w:customStyle="1" w:styleId="ae">
    <w:name w:val="(文字) (文字)"/>
    <w:basedOn w:val="a"/>
    <w:qFormat/>
    <w:rPr>
      <w:szCs w:val="20"/>
    </w:rPr>
  </w:style>
  <w:style w:type="table" w:customStyle="1" w:styleId="TableNormal">
    <w:name w:val="Table Normal"/>
    <w:unhideWhenUsed/>
    <w:qFormat/>
    <w:tblPr>
      <w:tblCellMar>
        <w:top w:w="0" w:type="dxa"/>
        <w:left w:w="0" w:type="dxa"/>
        <w:bottom w:w="0" w:type="dxa"/>
        <w:right w:w="0" w:type="dxa"/>
      </w:tblCellMar>
    </w:tblPr>
  </w:style>
  <w:style w:type="paragraph" w:customStyle="1" w:styleId="af">
    <w:name w:val="标准格式"/>
    <w:basedOn w:val="a"/>
    <w:qFormat/>
    <w:pPr>
      <w:spacing w:line="360" w:lineRule="auto"/>
      <w:ind w:firstLine="480"/>
    </w:pPr>
    <w:rPr>
      <w:kern w:val="1"/>
      <w:sz w:val="24"/>
    </w:rPr>
  </w:style>
  <w:style w:type="character" w:customStyle="1" w:styleId="1Char">
    <w:name w:val="标题 1 Char"/>
    <w:link w:val="1"/>
    <w:qFormat/>
    <w:rPr>
      <w:rFonts w:ascii="Times New Roman" w:eastAsia="宋体" w:hAnsi="Times New Roman"/>
      <w:b/>
      <w:kern w:val="44"/>
      <w:sz w:val="32"/>
    </w:rPr>
  </w:style>
  <w:style w:type="paragraph" w:styleId="af0">
    <w:name w:val="Balloon Text"/>
    <w:basedOn w:val="a"/>
    <w:link w:val="Char1"/>
    <w:rsid w:val="0090536A"/>
    <w:rPr>
      <w:sz w:val="18"/>
      <w:szCs w:val="18"/>
    </w:rPr>
  </w:style>
  <w:style w:type="character" w:customStyle="1" w:styleId="Char1">
    <w:name w:val="批注框文本 Char"/>
    <w:basedOn w:val="a0"/>
    <w:link w:val="af0"/>
    <w:rsid w:val="0090536A"/>
    <w:rPr>
      <w:rFonts w:ascii="Calibri" w:hAnsi="Calibri"/>
      <w:kern w:val="2"/>
      <w:sz w:val="18"/>
      <w:szCs w:val="18"/>
    </w:rPr>
  </w:style>
  <w:style w:type="paragraph" w:styleId="af1">
    <w:name w:val="Date"/>
    <w:basedOn w:val="a"/>
    <w:next w:val="a"/>
    <w:link w:val="Char2"/>
    <w:rsid w:val="00F74FB3"/>
    <w:pPr>
      <w:ind w:leftChars="2500" w:left="100"/>
    </w:pPr>
  </w:style>
  <w:style w:type="character" w:customStyle="1" w:styleId="Char2">
    <w:name w:val="日期 Char"/>
    <w:basedOn w:val="a0"/>
    <w:link w:val="af1"/>
    <w:rsid w:val="00F74FB3"/>
    <w:rPr>
      <w:rFonts w:ascii="Calibri" w:hAnsi="Calibri"/>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9.jpeg"/><Relationship Id="rId42" Type="http://schemas.openxmlformats.org/officeDocument/2006/relationships/hyperlink" Target="https://baike.baidu.com/item/%E6%8B%89%E6%9E%97%E6%B2%B3" TargetMode="External"/><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theme" Target="theme/theme1.xml"/><Relationship Id="rId16" Type="http://schemas.openxmlformats.org/officeDocument/2006/relationships/footer" Target="footer4.xml"/><Relationship Id="rId107" Type="http://schemas.openxmlformats.org/officeDocument/2006/relationships/image" Target="media/image86.jpeg"/><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hyperlink" Target="https://baike.baidu.com/item/%E6%9D%BE%E5%AB%A9%E5%B9%B3%E5%8E%9F" TargetMode="External"/><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0.png"/><Relationship Id="rId27" Type="http://schemas.openxmlformats.org/officeDocument/2006/relationships/image" Target="media/image13.jpeg"/><Relationship Id="rId43" Type="http://schemas.openxmlformats.org/officeDocument/2006/relationships/hyperlink" Target="https://baike.baidu.com/item/%E7%89%A1%E4%B8%B9%E6%B1%9F" TargetMode="External"/><Relationship Id="rId48" Type="http://schemas.openxmlformats.org/officeDocument/2006/relationships/image" Target="media/image27.pn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19.jpeg"/><Relationship Id="rId38" Type="http://schemas.openxmlformats.org/officeDocument/2006/relationships/hyperlink" Target="https://baike.baidu.com/item/%E9%95%BF%E7%99%BD%E5%B1%B1/9596" TargetMode="External"/><Relationship Id="rId59" Type="http://schemas.openxmlformats.org/officeDocument/2006/relationships/image" Target="media/image38.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5.xml"/><Relationship Id="rId28" Type="http://schemas.openxmlformats.org/officeDocument/2006/relationships/image" Target="media/image14.jpeg"/><Relationship Id="rId49" Type="http://schemas.openxmlformats.org/officeDocument/2006/relationships/image" Target="media/image28.pn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3.pn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9.jpeg"/><Relationship Id="rId135" Type="http://schemas.openxmlformats.org/officeDocument/2006/relationships/image" Target="media/image114.jpeg"/><Relationship Id="rId13" Type="http://schemas.openxmlformats.org/officeDocument/2006/relationships/image" Target="media/image2.emf"/><Relationship Id="rId18" Type="http://schemas.openxmlformats.org/officeDocument/2006/relationships/image" Target="media/image6.png"/><Relationship Id="rId39" Type="http://schemas.openxmlformats.org/officeDocument/2006/relationships/hyperlink" Target="https://baike.baidu.com/item/%E4%B8%B0%E6%BB%A1%E5%A4%A7%E5%9D%9D" TargetMode="External"/><Relationship Id="rId109" Type="http://schemas.openxmlformats.org/officeDocument/2006/relationships/image" Target="media/image88.jpeg"/><Relationship Id="rId34" Type="http://schemas.openxmlformats.org/officeDocument/2006/relationships/image" Target="media/image20.jpe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https://www.so.com/link?m=bGeKGbw40xzdew0Tvpjfg304kpmM/zehqz+SbXb0zxdlebVC9NTLuCHC6Ctl2kgFr4rr8/XurE1lqAkXEHvhhNlyn5lz5lpl8sh6YKxlQeR9dZR6Gv2/CgFZu5t+3Hd/0xOfHEvtR0E4ePIofcg1XLfR/0+/HC1zp/NjC3fC95RrP/5MUV7yKGCOoXqHkdI7p" TargetMode="External"/><Relationship Id="rId40" Type="http://schemas.openxmlformats.org/officeDocument/2006/relationships/hyperlink" Target="https://baike.baidu.com/item/%E6%B0%B8%E5%90%89%E5%8E%BF" TargetMode="External"/><Relationship Id="rId45" Type="http://schemas.openxmlformats.org/officeDocument/2006/relationships/image" Target="media/image24.pn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5.png"/><Relationship Id="rId67" Type="http://schemas.openxmlformats.org/officeDocument/2006/relationships/image" Target="media/image46.jpeg"/><Relationship Id="rId116" Type="http://schemas.openxmlformats.org/officeDocument/2006/relationships/image" Target="media/image95.jpeg"/><Relationship Id="rId13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https://baike.baidu.com/item/%E6%9D%BE%E8%8A%B1%E6%B1%9F" TargetMode="External"/><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 Type="http://schemas.openxmlformats.org/officeDocument/2006/relationships/image" Target="media/image4.jpeg"/><Relationship Id="rId36" Type="http://schemas.openxmlformats.org/officeDocument/2006/relationships/image" Target="media/image22.jpeg"/><Relationship Id="rId57" Type="http://schemas.openxmlformats.org/officeDocument/2006/relationships/image" Target="media/image36.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footer" Target="footer2.xml"/><Relationship Id="rId31" Type="http://schemas.openxmlformats.org/officeDocument/2006/relationships/image" Target="media/image17.jpe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image" Target="media/image26.pn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152</Pages>
  <Words>6238</Words>
  <Characters>35560</Characters>
  <Application>Microsoft Office Word</Application>
  <DocSecurity>0</DocSecurity>
  <Lines>296</Lines>
  <Paragraphs>83</Paragraphs>
  <ScaleCrop>false</ScaleCrop>
  <Company>Microsoft</Company>
  <LinksUpToDate>false</LinksUpToDate>
  <CharactersWithSpaces>41715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AutoBVT</cp:lastModifiedBy>
  <cp:revision>4</cp:revision>
  <cp:lastPrinted>2023-07-17T00:11:00Z</cp:lastPrinted>
  <dcterms:created xsi:type="dcterms:W3CDTF">2021-09-18T01:18:00Z</dcterms:created>
  <dcterms:modified xsi:type="dcterms:W3CDTF">2023-08-03T06:33:00Z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03F022F71F9E4AADB11F9EEA44A31D3B_13</vt:lpwstr>
  </property>
</Properties>
</file>